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285F36D3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450CD0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450CD0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 xml:space="preserve">SCHEDA DI </w:t>
      </w:r>
      <w:r w:rsidR="00C12668">
        <w:rPr>
          <w:rFonts w:ascii="Times New Roman" w:hAnsi="Times New Roman"/>
          <w:b/>
          <w:sz w:val="24"/>
          <w:szCs w:val="24"/>
        </w:rPr>
        <w:t xml:space="preserve">PRESENTAZIONE </w:t>
      </w:r>
      <w:r w:rsidR="00E84862" w:rsidRPr="00767356">
        <w:rPr>
          <w:rFonts w:ascii="Times New Roman" w:hAnsi="Times New Roman"/>
          <w:b/>
          <w:sz w:val="24"/>
          <w:szCs w:val="24"/>
        </w:rPr>
        <w:t>PROGETTO</w:t>
      </w:r>
    </w:p>
    <w:p w14:paraId="53DDAAD2" w14:textId="6DBFFBDA" w:rsidR="00E84862" w:rsidRPr="001133D7" w:rsidRDefault="00B2099D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133D7">
        <w:rPr>
          <w:rFonts w:ascii="Times New Roman" w:hAnsi="Times New Roman"/>
          <w:b/>
          <w:sz w:val="20"/>
          <w:szCs w:val="20"/>
        </w:rPr>
        <w:t xml:space="preserve">REFERENTE: </w:t>
      </w:r>
      <w:r w:rsidR="00450CD0" w:rsidRPr="001133D7">
        <w:rPr>
          <w:rFonts w:ascii="Times New Roman" w:hAnsi="Times New Roman"/>
          <w:b/>
          <w:sz w:val="20"/>
          <w:szCs w:val="20"/>
        </w:rPr>
        <w:t xml:space="preserve">prof. Pugliese Sara </w:t>
      </w: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2"/>
        <w:gridCol w:w="7058"/>
      </w:tblGrid>
      <w:tr w:rsidR="00B2099D" w:rsidRPr="00767356" w14:paraId="46D410E9" w14:textId="77777777" w:rsidTr="001133D7">
        <w:trPr>
          <w:trHeight w:val="433"/>
        </w:trPr>
        <w:tc>
          <w:tcPr>
            <w:tcW w:w="2522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58" w:type="dxa"/>
          </w:tcPr>
          <w:p w14:paraId="792DCD48" w14:textId="77777777" w:rsidR="00450CD0" w:rsidRPr="001133D7" w:rsidRDefault="00450CD0" w:rsidP="00B209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3D7">
              <w:rPr>
                <w:rFonts w:ascii="Times New Roman" w:hAnsi="Times New Roman"/>
                <w:b/>
                <w:sz w:val="20"/>
                <w:szCs w:val="20"/>
              </w:rPr>
              <w:t>Orientamento</w:t>
            </w:r>
          </w:p>
          <w:p w14:paraId="550F4B99" w14:textId="6309F22B" w:rsidR="00767356" w:rsidRPr="00767356" w:rsidRDefault="0076735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578C888" w14:textId="77777777" w:rsidTr="001133D7">
        <w:trPr>
          <w:trHeight w:val="433"/>
        </w:trPr>
        <w:tc>
          <w:tcPr>
            <w:tcW w:w="2522" w:type="dxa"/>
          </w:tcPr>
          <w:p w14:paraId="50999CCD" w14:textId="6D29435B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58" w:type="dxa"/>
          </w:tcPr>
          <w:p w14:paraId="0615981A" w14:textId="141266F1" w:rsidR="00E84862" w:rsidRPr="00767356" w:rsidRDefault="005D3A7D" w:rsidP="00450CD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</w:t>
            </w:r>
            <w:r w:rsidR="00450CD0">
              <w:rPr>
                <w:rFonts w:ascii="Times New Roman" w:hAnsi="Times New Roman"/>
                <w:sz w:val="20"/>
                <w:szCs w:val="20"/>
              </w:rPr>
              <w:t xml:space="preserve"> gli alunni delle classi Seconde e Terze </w:t>
            </w:r>
          </w:p>
        </w:tc>
      </w:tr>
      <w:tr w:rsidR="00B2099D" w:rsidRPr="00767356" w14:paraId="05384BF1" w14:textId="77777777" w:rsidTr="001133D7">
        <w:trPr>
          <w:trHeight w:val="433"/>
        </w:trPr>
        <w:tc>
          <w:tcPr>
            <w:tcW w:w="2522" w:type="dxa"/>
          </w:tcPr>
          <w:p w14:paraId="007688D9" w14:textId="796B565F" w:rsidR="00E84862" w:rsidRPr="00767356" w:rsidRDefault="00E84862" w:rsidP="00450CD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</w:t>
            </w:r>
            <w:r w:rsidR="00450CD0">
              <w:rPr>
                <w:rFonts w:ascii="Times New Roman" w:hAnsi="Times New Roman"/>
                <w:sz w:val="20"/>
                <w:szCs w:val="20"/>
              </w:rPr>
              <w:t xml:space="preserve">i </w:t>
            </w:r>
          </w:p>
        </w:tc>
        <w:tc>
          <w:tcPr>
            <w:tcW w:w="7058" w:type="dxa"/>
          </w:tcPr>
          <w:p w14:paraId="125954BE" w14:textId="77777777" w:rsidR="007334E0" w:rsidRPr="007334E0" w:rsidRDefault="007334E0" w:rsidP="007334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34E0">
              <w:rPr>
                <w:rFonts w:ascii="Times New Roman" w:hAnsi="Times New Roman"/>
                <w:b/>
                <w:sz w:val="20"/>
                <w:szCs w:val="20"/>
              </w:rPr>
              <w:t>Obiettivi formativi:</w:t>
            </w:r>
          </w:p>
          <w:p w14:paraId="0814A94F" w14:textId="3FD4507A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Sostenere nella ricerca della propria identità personale,</w:t>
            </w:r>
          </w:p>
          <w:p w14:paraId="1BAFFC97" w14:textId="77777777" w:rsidR="007334E0" w:rsidRPr="007334E0" w:rsidRDefault="007334E0" w:rsidP="007334E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intellettuale, affettiva, sociale</w:t>
            </w:r>
          </w:p>
          <w:p w14:paraId="4979EBDF" w14:textId="2012F835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Coinvolgere la famiglia nel</w:t>
            </w:r>
            <w:r w:rsidRPr="007334E0">
              <w:rPr>
                <w:rFonts w:ascii="Times New Roman" w:hAnsi="Times New Roman"/>
                <w:sz w:val="20"/>
                <w:szCs w:val="20"/>
              </w:rPr>
              <w:t xml:space="preserve"> processo formativo ed orientativo </w:t>
            </w:r>
          </w:p>
          <w:p w14:paraId="5FEB23C6" w14:textId="6FF6C419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Fornire agli alunni</w:t>
            </w:r>
            <w:r w:rsidRPr="007334E0">
              <w:rPr>
                <w:rFonts w:ascii="Times New Roman" w:hAnsi="Times New Roman"/>
                <w:sz w:val="20"/>
                <w:szCs w:val="20"/>
              </w:rPr>
              <w:t xml:space="preserve"> gli strumenti per l’analisi delle proprie caratteristiche</w:t>
            </w:r>
          </w:p>
          <w:p w14:paraId="5AC8447C" w14:textId="77777777" w:rsidR="007334E0" w:rsidRPr="007334E0" w:rsidRDefault="007334E0" w:rsidP="007334E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ed attitudini personali</w:t>
            </w:r>
          </w:p>
          <w:p w14:paraId="4FF835EB" w14:textId="12CEE50D" w:rsidR="007334E0" w:rsidRPr="007334E0" w:rsidRDefault="00FA6459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Sviluppare la capacità</w:t>
            </w:r>
            <w:r w:rsidR="007334E0" w:rsidRPr="007334E0">
              <w:rPr>
                <w:rFonts w:ascii="Times New Roman" w:hAnsi="Times New Roman"/>
                <w:sz w:val="20"/>
                <w:szCs w:val="20"/>
              </w:rPr>
              <w:t xml:space="preserve"> di scelta e di decisione</w:t>
            </w:r>
          </w:p>
          <w:p w14:paraId="00394F4B" w14:textId="0293D21A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Guid</w:t>
            </w:r>
            <w:r w:rsidR="002A4944">
              <w:rPr>
                <w:rFonts w:ascii="Times New Roman" w:hAnsi="Times New Roman"/>
                <w:sz w:val="20"/>
                <w:szCs w:val="20"/>
              </w:rPr>
              <w:t>are allo sviluppo della capacità</w:t>
            </w:r>
            <w:r w:rsidRPr="007334E0">
              <w:rPr>
                <w:rFonts w:ascii="Times New Roman" w:hAnsi="Times New Roman"/>
                <w:sz w:val="20"/>
                <w:szCs w:val="20"/>
              </w:rPr>
              <w:t xml:space="preserve"> di riflessione per coniugarla con gli</w:t>
            </w:r>
          </w:p>
          <w:p w14:paraId="31A39855" w14:textId="77777777" w:rsidR="007334E0" w:rsidRPr="007334E0" w:rsidRDefault="007334E0" w:rsidP="007334E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elementi della realtà esterna</w:t>
            </w:r>
          </w:p>
          <w:p w14:paraId="6C17D589" w14:textId="0F10DF67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Educare alla costruzione di un progetto di vita realistico,</w:t>
            </w:r>
          </w:p>
          <w:p w14:paraId="6967DD22" w14:textId="0D32C060" w:rsidR="007334E0" w:rsidRPr="007334E0" w:rsidRDefault="007334E0" w:rsidP="007334E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sostenuto da valori </w:t>
            </w:r>
            <w:r w:rsidRPr="007334E0">
              <w:rPr>
                <w:rFonts w:ascii="Times New Roman" w:hAnsi="Times New Roman"/>
                <w:sz w:val="20"/>
                <w:szCs w:val="20"/>
              </w:rPr>
              <w:t>ed aspettative socialmente cond</w:t>
            </w:r>
            <w:bookmarkStart w:id="0" w:name="_GoBack"/>
            <w:bookmarkEnd w:id="0"/>
            <w:r w:rsidRPr="007334E0">
              <w:rPr>
                <w:rFonts w:ascii="Times New Roman" w:hAnsi="Times New Roman"/>
                <w:sz w:val="20"/>
                <w:szCs w:val="20"/>
              </w:rPr>
              <w:t>ivisibili</w:t>
            </w:r>
          </w:p>
          <w:p w14:paraId="509B3EA3" w14:textId="211FA244" w:rsidR="007334E0" w:rsidRPr="001B4145" w:rsidRDefault="007334E0" w:rsidP="001B414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4145">
              <w:rPr>
                <w:rFonts w:ascii="Times New Roman" w:hAnsi="Times New Roman"/>
                <w:b/>
                <w:sz w:val="20"/>
                <w:szCs w:val="20"/>
              </w:rPr>
              <w:t>Ob</w:t>
            </w:r>
            <w:r w:rsidR="001133D7">
              <w:rPr>
                <w:rFonts w:ascii="Times New Roman" w:hAnsi="Times New Roman"/>
                <w:b/>
                <w:sz w:val="20"/>
                <w:szCs w:val="20"/>
              </w:rPr>
              <w:t>iettivi specifici dell’attività</w:t>
            </w:r>
            <w:r w:rsidRPr="001B414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88F7757" w14:textId="37018700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Conoscere le opportunità formative presenti sul territorio ed i</w:t>
            </w:r>
          </w:p>
          <w:p w14:paraId="52E21142" w14:textId="77777777" w:rsidR="007334E0" w:rsidRPr="007334E0" w:rsidRDefault="007334E0" w:rsidP="007334E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relativi sbocchi occupazionali</w:t>
            </w:r>
          </w:p>
          <w:p w14:paraId="45BCE3D9" w14:textId="36C34068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Conoscere, confrontare e valu</w:t>
            </w:r>
            <w:r>
              <w:rPr>
                <w:rFonts w:ascii="Times New Roman" w:hAnsi="Times New Roman"/>
                <w:sz w:val="20"/>
                <w:szCs w:val="20"/>
              </w:rPr>
              <w:t>tare in prospettiva personale le</w:t>
            </w:r>
          </w:p>
          <w:p w14:paraId="7A7DD19F" w14:textId="77777777" w:rsidR="007334E0" w:rsidRPr="007334E0" w:rsidRDefault="007334E0" w:rsidP="007334E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caratteristiche dei diversi tipi di scuola</w:t>
            </w:r>
          </w:p>
          <w:p w14:paraId="5E6C8BB3" w14:textId="7B8A95D7" w:rsidR="00E84862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Operare una scelta scolastica adeguata e consapevole</w:t>
            </w:r>
          </w:p>
        </w:tc>
      </w:tr>
      <w:tr w:rsidR="00B2099D" w:rsidRPr="00767356" w14:paraId="3717E761" w14:textId="77777777" w:rsidTr="001133D7">
        <w:trPr>
          <w:trHeight w:val="433"/>
        </w:trPr>
        <w:tc>
          <w:tcPr>
            <w:tcW w:w="2522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58" w:type="dxa"/>
          </w:tcPr>
          <w:p w14:paraId="0D97EA2C" w14:textId="77777777" w:rsidR="00E84862" w:rsidRDefault="00450CD0" w:rsidP="00B209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0CD0">
              <w:rPr>
                <w:rFonts w:ascii="Times New Roman" w:hAnsi="Times New Roman"/>
                <w:b/>
                <w:sz w:val="20"/>
                <w:szCs w:val="20"/>
              </w:rPr>
              <w:t>Classi Terze:</w:t>
            </w:r>
          </w:p>
          <w:p w14:paraId="644CC7AC" w14:textId="68A271A6" w:rsidR="00450CD0" w:rsidRPr="00450CD0" w:rsidRDefault="00450CD0" w:rsidP="00450CD0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Incontro di 1h con Operatori del Comune</w:t>
            </w:r>
            <w:r w:rsidR="005D3A7D">
              <w:rPr>
                <w:rFonts w:ascii="Times New Roman" w:hAnsi="Times New Roman"/>
                <w:sz w:val="20"/>
                <w:szCs w:val="20"/>
              </w:rPr>
              <w:t>: presentazione panorama Scuole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uperiori </w:t>
            </w:r>
          </w:p>
          <w:p w14:paraId="4066D215" w14:textId="774ED19C" w:rsidR="00450CD0" w:rsidRPr="00450CD0" w:rsidRDefault="005D3A7D" w:rsidP="00450CD0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Orientaday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C</w:t>
            </w:r>
            <w:r w:rsidR="00450CD0">
              <w:rPr>
                <w:rFonts w:ascii="Times New Roman" w:hAnsi="Times New Roman"/>
                <w:sz w:val="20"/>
                <w:szCs w:val="20"/>
              </w:rPr>
              <w:t>ampus di incontro con le scuole superiori (20/10/2018)</w:t>
            </w:r>
          </w:p>
          <w:p w14:paraId="4D23A4DA" w14:textId="6B782791" w:rsidR="00450CD0" w:rsidRPr="00450CD0" w:rsidRDefault="00450CD0" w:rsidP="00450CD0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Attività previste dal Centro Informa Giovani (sportello, incontri a tema) </w:t>
            </w:r>
          </w:p>
          <w:p w14:paraId="66A891FF" w14:textId="4FCBE034" w:rsidR="00450CD0" w:rsidRPr="00450CD0" w:rsidRDefault="00450CD0" w:rsidP="00450CD0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Lezioni aperte/laboratori presso le Scuole Superiori del territorio (fine novembre)</w:t>
            </w:r>
          </w:p>
          <w:p w14:paraId="58A0A593" w14:textId="72465090" w:rsidR="00450CD0" w:rsidRPr="00450CD0" w:rsidRDefault="00450CD0" w:rsidP="00450CD0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Giornata dei Mestieri e delle Professioni presso Cascina Roma (12/1/2019)</w:t>
            </w:r>
          </w:p>
          <w:p w14:paraId="3B3F4AB7" w14:textId="7B103CAB" w:rsidR="00450CD0" w:rsidRDefault="00450CD0" w:rsidP="00450CD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0CD0">
              <w:rPr>
                <w:rFonts w:ascii="Times New Roman" w:hAnsi="Times New Roman"/>
                <w:b/>
                <w:sz w:val="20"/>
                <w:szCs w:val="20"/>
              </w:rPr>
              <w:t>Classi Seconde:</w:t>
            </w:r>
          </w:p>
          <w:p w14:paraId="17FF4572" w14:textId="25C98AAE" w:rsidR="00E84862" w:rsidRPr="001133D7" w:rsidRDefault="00450CD0" w:rsidP="00B2099D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Somministrazione questionario riguardante attitudini allo studio e criteri di scelta (</w:t>
            </w:r>
            <w:r w:rsidR="005D3A7D">
              <w:rPr>
                <w:rFonts w:ascii="Times New Roman" w:hAnsi="Times New Roman"/>
                <w:sz w:val="20"/>
                <w:szCs w:val="20"/>
              </w:rPr>
              <w:t>2h per classe, aprile-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maggio. Insegnanti di lettere in collaborazione con la prof. Pugliese) </w:t>
            </w:r>
          </w:p>
        </w:tc>
      </w:tr>
      <w:tr w:rsidR="00B2099D" w:rsidRPr="00767356" w14:paraId="07137F10" w14:textId="77777777" w:rsidTr="001133D7">
        <w:trPr>
          <w:trHeight w:val="433"/>
        </w:trPr>
        <w:tc>
          <w:tcPr>
            <w:tcW w:w="2522" w:type="dxa"/>
          </w:tcPr>
          <w:p w14:paraId="4753283E" w14:textId="615C070C" w:rsidR="00E84862" w:rsidRPr="00767356" w:rsidRDefault="00E84862" w:rsidP="00450CD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Risorse umane </w:t>
            </w:r>
            <w:r w:rsidR="00450CD0">
              <w:rPr>
                <w:rFonts w:ascii="Times New Roman" w:hAnsi="Times New Roman"/>
                <w:sz w:val="20"/>
                <w:szCs w:val="20"/>
              </w:rPr>
              <w:t xml:space="preserve">14 ore totali (prof. Pugliese) </w:t>
            </w:r>
          </w:p>
        </w:tc>
        <w:tc>
          <w:tcPr>
            <w:tcW w:w="7058" w:type="dxa"/>
          </w:tcPr>
          <w:p w14:paraId="0E059435" w14:textId="22875431" w:rsidR="00E84862" w:rsidRPr="00767356" w:rsidRDefault="00450CD0" w:rsidP="00450CD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Somministrazione e correzione questionario classi Seconde</w:t>
            </w:r>
          </w:p>
        </w:tc>
      </w:tr>
      <w:tr w:rsidR="00B2099D" w:rsidRPr="00767356" w14:paraId="2694F720" w14:textId="77777777" w:rsidTr="001133D7">
        <w:trPr>
          <w:trHeight w:val="433"/>
        </w:trPr>
        <w:tc>
          <w:tcPr>
            <w:tcW w:w="2522" w:type="dxa"/>
          </w:tcPr>
          <w:p w14:paraId="2D744FED" w14:textId="5CE0634A" w:rsidR="001133D7" w:rsidRPr="00767356" w:rsidRDefault="001133D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Situazione attesa/ indicatori utilizzati </w:t>
            </w:r>
          </w:p>
        </w:tc>
        <w:tc>
          <w:tcPr>
            <w:tcW w:w="7058" w:type="dxa"/>
          </w:tcPr>
          <w:p w14:paraId="622AFF67" w14:textId="12DC0288" w:rsidR="00E84862" w:rsidRPr="00767356" w:rsidRDefault="00450CD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Scelta della scuola Superiore consapevole e condivisa con genitori e insegnanti 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4D5880E6" w14:textId="77777777" w:rsidR="00767356" w:rsidRDefault="00767356" w:rsidP="007334E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14:paraId="0FA4C8BC" w14:textId="3B31BCAE" w:rsidR="001133D7" w:rsidRPr="001133D7" w:rsidRDefault="007334E0" w:rsidP="001133D7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1133D7">
              <w:rPr>
                <w:rFonts w:ascii="Times New Roman" w:hAnsi="Times New Roman"/>
              </w:rPr>
              <w:t>Rivolto agli alunni delle Classi Seconde e Terze</w:t>
            </w:r>
            <w:r w:rsidR="001133D7" w:rsidRPr="001133D7">
              <w:rPr>
                <w:rFonts w:ascii="Times New Roman" w:hAnsi="Times New Roman"/>
              </w:rPr>
              <w:t>.</w:t>
            </w:r>
            <w:r w:rsidR="001133D7" w:rsidRPr="001133D7">
              <w:rPr>
                <w:rFonts w:ascii="OpenSans" w:eastAsia="Times New Roman" w:hAnsi="OpenSans"/>
                <w:color w:val="000000"/>
                <w:shd w:val="clear" w:color="auto" w:fill="FFFFFF"/>
                <w:lang w:eastAsia="it-IT"/>
              </w:rPr>
              <w:t xml:space="preserve"> Nella prima parte del percorso (classi Seconde) l’alunno impara a conoscere </w:t>
            </w:r>
            <w:proofErr w:type="gramStart"/>
            <w:r w:rsidR="001133D7" w:rsidRPr="001133D7">
              <w:rPr>
                <w:rFonts w:ascii="OpenSans" w:eastAsia="Times New Roman" w:hAnsi="OpenSans"/>
                <w:color w:val="000000"/>
                <w:shd w:val="clear" w:color="auto" w:fill="FFFFFF"/>
                <w:lang w:eastAsia="it-IT"/>
              </w:rPr>
              <w:t>se</w:t>
            </w:r>
            <w:proofErr w:type="gramEnd"/>
            <w:r w:rsidR="001133D7" w:rsidRPr="001133D7">
              <w:rPr>
                <w:rFonts w:ascii="OpenSans" w:eastAsia="Times New Roman" w:hAnsi="OpenSans"/>
                <w:color w:val="000000"/>
                <w:shd w:val="clear" w:color="auto" w:fill="FFFFFF"/>
                <w:lang w:eastAsia="it-IT"/>
              </w:rPr>
              <w:t xml:space="preserve"> stesso, le proprie attitudini, capacità, interessi, per compiere scelte consapevoli. Nella seconda parte (classi Terze) </w:t>
            </w:r>
            <w:r w:rsidR="001133D7">
              <w:rPr>
                <w:rFonts w:ascii="OpenSans" w:eastAsia="Times New Roman" w:hAnsi="OpenSans"/>
                <w:color w:val="000000"/>
                <w:shd w:val="clear" w:color="auto" w:fill="FFFFFF"/>
                <w:lang w:eastAsia="it-IT"/>
              </w:rPr>
              <w:t>l</w:t>
            </w:r>
            <w:r w:rsidR="001133D7">
              <w:rPr>
                <w:rFonts w:ascii="OpenSans" w:eastAsia="Times New Roman" w:hAnsi="OpenSans" w:hint="eastAsia"/>
                <w:color w:val="000000"/>
                <w:shd w:val="clear" w:color="auto" w:fill="FFFFFF"/>
                <w:lang w:eastAsia="it-IT"/>
              </w:rPr>
              <w:t>’</w:t>
            </w:r>
            <w:r w:rsidR="001133D7">
              <w:rPr>
                <w:rFonts w:ascii="OpenSans" w:eastAsia="Times New Roman" w:hAnsi="OpenSans"/>
                <w:color w:val="000000"/>
                <w:shd w:val="clear" w:color="auto" w:fill="FFFFFF"/>
                <w:lang w:eastAsia="it-IT"/>
              </w:rPr>
              <w:t>alunno conosce l</w:t>
            </w:r>
            <w:r w:rsidR="001133D7">
              <w:rPr>
                <w:rFonts w:ascii="OpenSans" w:eastAsia="Times New Roman" w:hAnsi="OpenSans" w:hint="eastAsia"/>
                <w:color w:val="000000"/>
                <w:shd w:val="clear" w:color="auto" w:fill="FFFFFF"/>
                <w:lang w:eastAsia="it-IT"/>
              </w:rPr>
              <w:t>’</w:t>
            </w:r>
            <w:r w:rsidR="001133D7">
              <w:rPr>
                <w:rFonts w:ascii="OpenSans" w:eastAsia="Times New Roman" w:hAnsi="OpenSans"/>
                <w:color w:val="000000"/>
                <w:shd w:val="clear" w:color="auto" w:fill="FFFFFF"/>
                <w:lang w:eastAsia="it-IT"/>
              </w:rPr>
              <w:t>offerta formativa delle scuole Secondarie di Secondo grado ed è accompagnato ad una scelta consapevole.</w:t>
            </w:r>
          </w:p>
          <w:p w14:paraId="2048D64B" w14:textId="740CDE8E" w:rsidR="007334E0" w:rsidRPr="00767356" w:rsidRDefault="007334E0" w:rsidP="001133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6C10BCE7" w:rsidR="00B2099D" w:rsidRPr="00767356" w:rsidRDefault="002A4944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</w:t>
      </w:r>
      <w:r w:rsidR="001133D7">
        <w:rPr>
          <w:rFonts w:ascii="Times New Roman" w:hAnsi="Times New Roman"/>
          <w:sz w:val="20"/>
          <w:szCs w:val="20"/>
        </w:rPr>
        <w:t xml:space="preserve"> ottobre 2018</w:t>
      </w:r>
    </w:p>
    <w:p w14:paraId="0F18FFCD" w14:textId="77777777" w:rsidR="00C20C5C" w:rsidRPr="00767356" w:rsidRDefault="00C20C5C" w:rsidP="00C20C5C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2626CBFC" w14:textId="77777777" w:rsidR="001133D7" w:rsidRDefault="001133D7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Prof.ssa Sara Pugliese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5868C7D" w14:textId="77777777" w:rsidR="00E84862" w:rsidRPr="001F7418" w:rsidRDefault="00E84862" w:rsidP="00B2099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F7418">
        <w:rPr>
          <w:rFonts w:ascii="Times New Roman" w:hAnsi="Times New Roman"/>
          <w:i/>
          <w:sz w:val="20"/>
          <w:szCs w:val="20"/>
        </w:rPr>
        <w:t xml:space="preserve">Questa è </w:t>
      </w:r>
      <w:r w:rsidR="001F7418" w:rsidRPr="001F7418">
        <w:rPr>
          <w:rFonts w:ascii="Times New Roman" w:hAnsi="Times New Roman"/>
          <w:i/>
          <w:sz w:val="20"/>
          <w:szCs w:val="20"/>
        </w:rPr>
        <w:t>solo una scheda riassuntiva che</w:t>
      </w:r>
      <w:r w:rsidRPr="001F7418">
        <w:rPr>
          <w:rFonts w:ascii="Times New Roman" w:hAnsi="Times New Roman"/>
          <w:i/>
          <w:sz w:val="20"/>
          <w:szCs w:val="20"/>
        </w:rPr>
        <w:t xml:space="preserve"> serve ad avere sott’occhio gli elem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enti fondamentali </w:t>
      </w:r>
      <w:r w:rsidRPr="001F7418">
        <w:rPr>
          <w:rFonts w:ascii="Times New Roman" w:hAnsi="Times New Roman"/>
          <w:i/>
          <w:sz w:val="20"/>
          <w:szCs w:val="20"/>
        </w:rPr>
        <w:t>per re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nderli immediatamente leggibili. </w:t>
      </w:r>
      <w:r w:rsidRPr="001F7418">
        <w:rPr>
          <w:rFonts w:ascii="Times New Roman" w:hAnsi="Times New Roman"/>
          <w:i/>
          <w:sz w:val="20"/>
          <w:szCs w:val="20"/>
        </w:rPr>
        <w:t>Il progetto sarà poi sviluppato liberamente, secon</w:t>
      </w:r>
      <w:r w:rsidR="001F7418" w:rsidRPr="001F7418">
        <w:rPr>
          <w:rFonts w:ascii="Times New Roman" w:hAnsi="Times New Roman"/>
          <w:i/>
          <w:sz w:val="20"/>
          <w:szCs w:val="20"/>
        </w:rPr>
        <w:t>do le buone pratiche consuete. L</w:t>
      </w:r>
      <w:r w:rsidRPr="001F7418">
        <w:rPr>
          <w:rFonts w:ascii="Times New Roman" w:hAnsi="Times New Roman"/>
          <w:i/>
          <w:sz w:val="20"/>
          <w:szCs w:val="20"/>
        </w:rPr>
        <w:t>a scheda ha anche la funzione di consentire una sorta di controllo finale a chi sviluppa il progetto.</w:t>
      </w:r>
    </w:p>
    <w:p w14:paraId="35C8506E" w14:textId="13A8C662" w:rsidR="00767356" w:rsidRDefault="004F700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7356">
        <w:rPr>
          <w:rFonts w:ascii="Times New Roman" w:hAnsi="Times New Roman"/>
          <w:b/>
          <w:sz w:val="20"/>
          <w:szCs w:val="20"/>
        </w:rPr>
        <w:t>N.B. SI ALLEGA</w:t>
      </w:r>
    </w:p>
    <w:p w14:paraId="1E188C04" w14:textId="5C1D3515" w:rsidR="00767356" w:rsidRPr="0076735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1) </w:t>
      </w:r>
      <w:r w:rsidR="004F7006" w:rsidRPr="00767356">
        <w:rPr>
          <w:rFonts w:ascii="Times New Roman" w:hAnsi="Times New Roman"/>
          <w:b/>
          <w:sz w:val="20"/>
          <w:szCs w:val="20"/>
        </w:rPr>
        <w:t>SEZIONE V DEL RAV –</w:t>
      </w:r>
      <w:r w:rsidR="00D205DC">
        <w:rPr>
          <w:rFonts w:ascii="Times New Roman" w:hAnsi="Times New Roman"/>
          <w:b/>
          <w:sz w:val="20"/>
          <w:szCs w:val="20"/>
        </w:rPr>
        <w:t xml:space="preserve"> PRORITA’ E TRAGUARDI</w:t>
      </w:r>
      <w:r w:rsidR="004A1D28">
        <w:rPr>
          <w:rFonts w:ascii="Times New Roman" w:hAnsi="Times New Roman"/>
          <w:b/>
          <w:sz w:val="20"/>
          <w:szCs w:val="20"/>
        </w:rPr>
        <w:t>.</w:t>
      </w:r>
    </w:p>
    <w:p w14:paraId="2EC0390A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5B299" w14:textId="77777777" w:rsidR="008E4C01" w:rsidRDefault="008E4C01" w:rsidP="00E84862">
      <w:pPr>
        <w:spacing w:after="0" w:line="240" w:lineRule="auto"/>
      </w:pPr>
      <w:r>
        <w:separator/>
      </w:r>
    </w:p>
  </w:endnote>
  <w:endnote w:type="continuationSeparator" w:id="0">
    <w:p w14:paraId="52C2705D" w14:textId="77777777" w:rsidR="008E4C01" w:rsidRDefault="008E4C01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33B8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494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5F858" w14:textId="77777777" w:rsidR="008E4C01" w:rsidRDefault="008E4C01" w:rsidP="00E84862">
      <w:pPr>
        <w:spacing w:after="0" w:line="240" w:lineRule="auto"/>
      </w:pPr>
      <w:r>
        <w:separator/>
      </w:r>
    </w:p>
  </w:footnote>
  <w:footnote w:type="continuationSeparator" w:id="0">
    <w:p w14:paraId="531E8741" w14:textId="77777777" w:rsidR="008E4C01" w:rsidRDefault="008E4C01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5B3DC" w14:textId="4D4E638C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 xml:space="preserve">MINISTERO dell’ISTRUZIONE, </w:t>
    </w:r>
    <w:proofErr w:type="gramStart"/>
    <w:r w:rsidRPr="004F7006">
      <w:rPr>
        <w:rFonts w:ascii="Times New Roman" w:hAnsi="Times New Roman"/>
        <w:sz w:val="16"/>
        <w:szCs w:val="16"/>
      </w:rPr>
      <w:t>dell'</w:t>
    </w:r>
    <w:r w:rsidR="00450CD0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UNIVERSITA</w:t>
    </w:r>
    <w:proofErr w:type="gramEnd"/>
    <w:r w:rsidRPr="004F7006">
      <w:rPr>
        <w:rFonts w:ascii="Times New Roman" w:hAnsi="Times New Roman"/>
        <w:sz w:val="16"/>
        <w:szCs w:val="16"/>
      </w:rPr>
      <w:t>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4FE2DD3E" w:rsidR="0076735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</w:t>
    </w:r>
    <w:r w:rsidR="00450CD0">
      <w:rPr>
        <w:rFonts w:ascii="Times New Roman" w:hAnsi="Times New Roman"/>
        <w:b/>
        <w:sz w:val="16"/>
        <w:szCs w:val="16"/>
      </w:rPr>
      <w:t xml:space="preserve">O COMPRENSIVO Margherita </w:t>
    </w:r>
    <w:proofErr w:type="spellStart"/>
    <w:r w:rsidR="00450CD0">
      <w:rPr>
        <w:rFonts w:ascii="Times New Roman" w:hAnsi="Times New Roman"/>
        <w:b/>
        <w:sz w:val="16"/>
        <w:szCs w:val="16"/>
      </w:rPr>
      <w:t>Hack</w:t>
    </w:r>
    <w:proofErr w:type="spellEnd"/>
  </w:p>
  <w:p w14:paraId="2EAD780A" w14:textId="77777777" w:rsidR="00450CD0" w:rsidRPr="004F7006" w:rsidRDefault="00450CD0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11FB8"/>
    <w:multiLevelType w:val="hybridMultilevel"/>
    <w:tmpl w:val="1158C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67DA"/>
    <w:multiLevelType w:val="hybridMultilevel"/>
    <w:tmpl w:val="B45E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41C76"/>
    <w:multiLevelType w:val="hybridMultilevel"/>
    <w:tmpl w:val="07885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1133D7"/>
    <w:rsid w:val="001B4145"/>
    <w:rsid w:val="001F7418"/>
    <w:rsid w:val="002A4944"/>
    <w:rsid w:val="002D5AD2"/>
    <w:rsid w:val="003D2C0B"/>
    <w:rsid w:val="00450CD0"/>
    <w:rsid w:val="004A1D28"/>
    <w:rsid w:val="004F7006"/>
    <w:rsid w:val="005D3A7D"/>
    <w:rsid w:val="007334E0"/>
    <w:rsid w:val="00767356"/>
    <w:rsid w:val="008E4C01"/>
    <w:rsid w:val="0097066E"/>
    <w:rsid w:val="00973C15"/>
    <w:rsid w:val="00A43CC3"/>
    <w:rsid w:val="00AD184A"/>
    <w:rsid w:val="00B2099D"/>
    <w:rsid w:val="00C11B9A"/>
    <w:rsid w:val="00C12668"/>
    <w:rsid w:val="00C20C5C"/>
    <w:rsid w:val="00D205DC"/>
    <w:rsid w:val="00E84862"/>
    <w:rsid w:val="00F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5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413</Words>
  <Characters>2357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Utente di Microsoft Office</cp:lastModifiedBy>
  <cp:revision>13</cp:revision>
  <dcterms:created xsi:type="dcterms:W3CDTF">2018-10-25T10:28:00Z</dcterms:created>
  <dcterms:modified xsi:type="dcterms:W3CDTF">2019-01-27T22:00:00Z</dcterms:modified>
</cp:coreProperties>
</file>