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D05F16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10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43D65C48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DD0347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DD0347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10F5BC41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 </w:t>
      </w:r>
      <w:r w:rsidR="00DD0347">
        <w:rPr>
          <w:rFonts w:ascii="Times New Roman" w:hAnsi="Times New Roman"/>
          <w:sz w:val="20"/>
          <w:szCs w:val="20"/>
        </w:rPr>
        <w:t>Coppetti Giovanna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4"/>
            </w:tblGrid>
            <w:tr w:rsidR="009F75A9" w:rsidRPr="009F75A9" w14:paraId="1978A8DD" w14:textId="77777777">
              <w:trPr>
                <w:trHeight w:val="262"/>
              </w:trPr>
              <w:tc>
                <w:tcPr>
                  <w:tcW w:w="0" w:type="auto"/>
                </w:tcPr>
                <w:p w14:paraId="08C54338" w14:textId="77777777" w:rsid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MUSI-CANTO</w:t>
                  </w:r>
                </w:p>
                <w:p w14:paraId="088217AE" w14:textId="12B08022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01D3127B" w14:textId="371DAEBC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b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NUOVO</w:t>
                  </w:r>
                </w:p>
              </w:tc>
            </w:tr>
          </w:tbl>
          <w:p w14:paraId="2AD281AF" w14:textId="2DEB31DB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7"/>
            </w:tblGrid>
            <w:tr w:rsidR="00DD0347" w14:paraId="5548F6A0" w14:textId="77777777">
              <w:trPr>
                <w:trHeight w:val="263"/>
              </w:trPr>
              <w:tc>
                <w:tcPr>
                  <w:tcW w:w="0" w:type="auto"/>
                </w:tcPr>
                <w:p w14:paraId="705A5A59" w14:textId="597AD4DA" w:rsidR="00DD0347" w:rsidRDefault="00DD034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Alunni delle classi quinte dell</w:t>
                  </w:r>
                  <w:r w:rsidR="009F75A9">
                    <w:rPr>
                      <w:sz w:val="20"/>
                      <w:szCs w:val="20"/>
                    </w:rPr>
                    <w:t>a Scuola Primaria</w:t>
                  </w:r>
                </w:p>
              </w:tc>
            </w:tr>
          </w:tbl>
          <w:p w14:paraId="2AFC404D" w14:textId="3E43C52F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8"/>
            </w:tblGrid>
            <w:tr w:rsidR="00DD0347" w14:paraId="2DB2D88D" w14:textId="77777777">
              <w:trPr>
                <w:trHeight w:val="263"/>
              </w:trPr>
              <w:tc>
                <w:tcPr>
                  <w:tcW w:w="0" w:type="auto"/>
                </w:tcPr>
                <w:p w14:paraId="333C61A3" w14:textId="412A6C9E" w:rsidR="00DD0347" w:rsidRDefault="00DD034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Competenze chiave e di cittadinanza </w:t>
                  </w:r>
                </w:p>
                <w:p w14:paraId="2E7A87A7" w14:textId="3F65C44A" w:rsidR="00DD0347" w:rsidRDefault="00DD034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24F8F14" w14:textId="4EF38992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64CBE8D5" w:rsidR="00D01602" w:rsidRPr="00767356" w:rsidRDefault="009F75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9F75A9" w:rsidRPr="009F75A9" w14:paraId="7CC5FC5E" w14:textId="77777777">
              <w:trPr>
                <w:trHeight w:val="643"/>
              </w:trPr>
              <w:tc>
                <w:tcPr>
                  <w:tcW w:w="0" w:type="auto"/>
                </w:tcPr>
                <w:p w14:paraId="0E2B0966" w14:textId="526F8B6C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Utilizzare voce, strumenti e corpo in modo consapevole. </w:t>
                  </w:r>
                </w:p>
                <w:p w14:paraId="2414564A" w14:textId="77777777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Eseguire con la voce, col corpo e con strumenti anche non convenzionali combinazioni timbriche, ritmiche e melodiche. </w:t>
                  </w:r>
                </w:p>
                <w:p w14:paraId="3B3F0C41" w14:textId="77777777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Eseguire collettivamente brani vocali anche polifonici, curando l’intonazione, l’espressività e l’interpretazione. </w:t>
                  </w:r>
                </w:p>
              </w:tc>
            </w:tr>
            <w:tr w:rsidR="00C43FA3" w14:paraId="20AF99A6" w14:textId="77777777">
              <w:trPr>
                <w:trHeight w:val="895"/>
              </w:trPr>
              <w:tc>
                <w:tcPr>
                  <w:tcW w:w="0" w:type="auto"/>
                </w:tcPr>
                <w:p w14:paraId="62D857DD" w14:textId="45F8B1AF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B48E38D" w14:textId="10E8F992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094A5E72" w:rsidR="00D01602" w:rsidRPr="00767356" w:rsidRDefault="009F75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9F75A9" w:rsidRPr="009F75A9" w14:paraId="64377161" w14:textId="77777777">
              <w:trPr>
                <w:trHeight w:val="382"/>
              </w:trPr>
              <w:tc>
                <w:tcPr>
                  <w:tcW w:w="0" w:type="auto"/>
                </w:tcPr>
                <w:p w14:paraId="731A7C5D" w14:textId="3E058D13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Esplorare diverse possibilità espressive della voce, di oggetti sonori e strumenti musicali, imparando ad ascoltare se stesso e gli altri. </w:t>
                  </w:r>
                </w:p>
                <w:p w14:paraId="5A21F817" w14:textId="3D6A84C3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Alfa</w:t>
                  </w:r>
                  <w:r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betizzazione ritmica e melodica.</w:t>
                  </w:r>
                </w:p>
              </w:tc>
            </w:tr>
          </w:tbl>
          <w:p w14:paraId="44231ECA" w14:textId="018E25CA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4"/>
            </w:tblGrid>
            <w:tr w:rsidR="009F75A9" w:rsidRPr="009F75A9" w14:paraId="7AE28C4F" w14:textId="77777777" w:rsidTr="00183DCD">
              <w:trPr>
                <w:trHeight w:val="90"/>
              </w:trPr>
              <w:tc>
                <w:tcPr>
                  <w:tcW w:w="0" w:type="auto"/>
                </w:tcPr>
                <w:p w14:paraId="64826ED3" w14:textId="77777777" w:rsidR="009F75A9" w:rsidRPr="009F75A9" w:rsidRDefault="009F75A9" w:rsidP="00183DCD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Lavorare in gruppo per la realizzazione di un obiettivo comune </w:t>
                  </w:r>
                </w:p>
              </w:tc>
            </w:tr>
            <w:tr w:rsidR="00B514E8" w14:paraId="03DA9AF8" w14:textId="77777777">
              <w:trPr>
                <w:trHeight w:val="90"/>
              </w:trPr>
              <w:tc>
                <w:tcPr>
                  <w:tcW w:w="0" w:type="auto"/>
                </w:tcPr>
                <w:p w14:paraId="63B3CD5F" w14:textId="3622A886" w:rsidR="00B514E8" w:rsidRDefault="00B514E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8E4F73" w14:textId="34B6ACB1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825A1C" w14:paraId="178B3093" w14:textId="77777777">
              <w:trPr>
                <w:trHeight w:val="608"/>
              </w:trPr>
              <w:tc>
                <w:tcPr>
                  <w:tcW w:w="0" w:type="auto"/>
                </w:tcPr>
                <w:p w14:paraId="1323F3C4" w14:textId="51D3349E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Nella scuola Primaria l’insegnamento musicale è parte integrante del curricolo di studio e si colloca come elemento integrante del nostro patrimonio storico. </w:t>
                  </w:r>
                </w:p>
                <w:p w14:paraId="654B5F12" w14:textId="77777777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Questo progetto mira a sviluppare e potenziare le capacità espressive di tipo musicale degli alunni, arricchendo e potenziando la programmazione curriculare. </w:t>
                  </w:r>
                </w:p>
              </w:tc>
            </w:tr>
          </w:tbl>
          <w:p w14:paraId="0FF181A4" w14:textId="4A36AC9F" w:rsidR="00D01602" w:rsidRPr="00767356" w:rsidRDefault="00D01602" w:rsidP="00C12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825A1C" w14:paraId="2F364CD4" w14:textId="77777777">
              <w:trPr>
                <w:trHeight w:val="1471"/>
              </w:trPr>
              <w:tc>
                <w:tcPr>
                  <w:tcW w:w="0" w:type="auto"/>
                </w:tcPr>
                <w:p w14:paraId="571D3C37" w14:textId="512E1FF4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Attività di “body </w:t>
                  </w:r>
                  <w:proofErr w:type="spellStart"/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percussion</w:t>
                  </w:r>
                  <w:proofErr w:type="spellEnd"/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”, esercizi di lettura ritmica della notazione musicale, giochi ritmici con strumenti non tradizionali, esercizi di movimento e coreografie di brani con accompagnamento ritmico, esercizi vocali, ascolto e riproduzione di canti propedeutici all’alfabetizzazione melodica, lezioni d’introduzione alla lettura melodica, esecuzione di canti corali. </w:t>
                  </w:r>
                </w:p>
                <w:p w14:paraId="179BF01C" w14:textId="77777777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Il progetto si articola da febbraio a maggio e prevede una lezione settimanale della durata di 1 ora. </w:t>
                  </w:r>
                </w:p>
                <w:p w14:paraId="54572BC0" w14:textId="77777777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A conclusione del percorso è previsto uno spettacolo finale incentrato su ritmo, movimento e brani cantati. </w:t>
                  </w:r>
                </w:p>
              </w:tc>
            </w:tr>
          </w:tbl>
          <w:p w14:paraId="011EB8E1" w14:textId="77777777" w:rsidR="00D01602" w:rsidRPr="00767356" w:rsidRDefault="00D01602" w:rsidP="00B514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2"/>
            </w:tblGrid>
            <w:tr w:rsidR="00825A1C" w:rsidRPr="00825A1C" w14:paraId="5845F5FD" w14:textId="77777777">
              <w:trPr>
                <w:trHeight w:val="90"/>
              </w:trPr>
              <w:tc>
                <w:tcPr>
                  <w:tcW w:w="0" w:type="auto"/>
                </w:tcPr>
                <w:p w14:paraId="6A22E8B2" w14:textId="6E0B7B3E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Pagamento al docente espe</w:t>
                  </w:r>
                  <w:r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rto proveniente da ente esterno.</w:t>
                  </w:r>
                </w:p>
              </w:tc>
            </w:tr>
            <w:tr w:rsidR="00C12339" w:rsidRPr="00C12339" w14:paraId="3BFB5155" w14:textId="77777777">
              <w:trPr>
                <w:trHeight w:val="263"/>
              </w:trPr>
              <w:tc>
                <w:tcPr>
                  <w:tcW w:w="0" w:type="auto"/>
                </w:tcPr>
                <w:p w14:paraId="55FF3E06" w14:textId="171470FF" w:rsidR="00C12339" w:rsidRPr="00C12339" w:rsidRDefault="00C12339" w:rsidP="00C1233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C1233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14:paraId="527C5ED2" w14:textId="174296F0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C12339" w:rsidRPr="00C12339" w14:paraId="29F13B4E" w14:textId="77777777">
              <w:trPr>
                <w:trHeight w:val="263"/>
              </w:trPr>
              <w:tc>
                <w:tcPr>
                  <w:tcW w:w="0" w:type="auto"/>
                </w:tcPr>
                <w:p w14:paraId="54505C49" w14:textId="3CE6896E" w:rsidR="00C12339" w:rsidRPr="00C12339" w:rsidRDefault="00825A1C" w:rsidP="00C1233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Tutti gli insegnanti delle classi quinte.</w:t>
                  </w:r>
                </w:p>
              </w:tc>
            </w:tr>
            <w:tr w:rsidR="00825A1C" w:rsidRPr="00825A1C" w14:paraId="182FB990" w14:textId="77777777">
              <w:trPr>
                <w:trHeight w:val="90"/>
              </w:trPr>
              <w:tc>
                <w:tcPr>
                  <w:tcW w:w="0" w:type="auto"/>
                </w:tcPr>
                <w:p w14:paraId="14DDB32E" w14:textId="4D57D07F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F9350CB" w14:textId="0D210715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825A1C" w14:paraId="17969242" w14:textId="77777777">
              <w:trPr>
                <w:trHeight w:val="437"/>
              </w:trPr>
              <w:tc>
                <w:tcPr>
                  <w:tcW w:w="0" w:type="auto"/>
                </w:tcPr>
                <w:p w14:paraId="1774ECDC" w14:textId="77777777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L’uso di spazi ampi (palestra, palestrina) adatti ad ospitare più classi contemporaneamente ed idonei ad attività di movimento. </w:t>
                  </w:r>
                </w:p>
                <w:p w14:paraId="7BAF8537" w14:textId="77777777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Teatro </w:t>
                  </w:r>
                  <w:proofErr w:type="spellStart"/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Troisi</w:t>
                  </w:r>
                  <w:proofErr w:type="spellEnd"/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per ospitare lo spettacolo finale. </w:t>
                  </w:r>
                </w:p>
              </w:tc>
            </w:tr>
          </w:tbl>
          <w:p w14:paraId="1DF9DAB7" w14:textId="4114D519" w:rsidR="00C12339" w:rsidRPr="00767356" w:rsidRDefault="00C1233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825A1C" w14:paraId="6A4088FC" w14:textId="77777777">
              <w:trPr>
                <w:trHeight w:val="262"/>
              </w:trPr>
              <w:tc>
                <w:tcPr>
                  <w:tcW w:w="0" w:type="auto"/>
                </w:tcPr>
                <w:p w14:paraId="1F250514" w14:textId="48D418A4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L’attenzione dell’alunno per le attività proposte, la partecipazione attiva, la sensibilità al canto, la qualità dell’esecuzione corale dei brani proposti. </w:t>
                  </w:r>
                </w:p>
              </w:tc>
            </w:tr>
          </w:tbl>
          <w:p w14:paraId="0675AA73" w14:textId="77777777" w:rsidR="00825A1C" w:rsidRDefault="00825A1C" w:rsidP="00C1233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BCFDCA6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Risultati delle gare. </w:t>
            </w:r>
          </w:p>
          <w:p w14:paraId="5050B3B4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Interazione fra due diversi contesti educativi. </w:t>
            </w:r>
          </w:p>
          <w:p w14:paraId="7BCE7B83" w14:textId="16342F23" w:rsidR="00D01602" w:rsidRPr="00767356" w:rsidRDefault="00C12339" w:rsidP="00C123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339">
              <w:rPr>
                <w:rFonts w:ascii="Times New Roman" w:hAnsi="Times New Roman" w:cs="Times New Roman"/>
                <w:sz w:val="20"/>
                <w:szCs w:val="20"/>
              </w:rPr>
              <w:t>Partecipazione positiva di alunni e docenti all’ iniziativa proposta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000785A" w14:textId="6F00D99A" w:rsidR="00D01602" w:rsidRPr="00767356" w:rsidRDefault="00C12339" w:rsidP="00C123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1"/>
            </w:tblGrid>
            <w:tr w:rsidR="00825A1C" w:rsidRPr="00825A1C" w14:paraId="55A37480" w14:textId="77777777">
              <w:trPr>
                <w:trHeight w:val="90"/>
              </w:trPr>
              <w:tc>
                <w:tcPr>
                  <w:tcW w:w="0" w:type="auto"/>
                </w:tcPr>
                <w:p w14:paraId="4D8DD7FA" w14:textId="2E2BA8AA" w:rsidR="00825A1C" w:rsidRPr="00825A1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E</w:t>
                  </w:r>
                  <w:r w:rsidRPr="00825A1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levare le capacità espressive musicali globali degli alunni. </w:t>
                  </w:r>
                </w:p>
              </w:tc>
            </w:tr>
          </w:tbl>
          <w:p w14:paraId="28FBA43B" w14:textId="3427D258" w:rsidR="00D01602" w:rsidRPr="00C12339" w:rsidRDefault="00D01602" w:rsidP="00C123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370079E4" w14:textId="77777777" w:rsidR="00D01602" w:rsidRDefault="00D01602" w:rsidP="00C1233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1070BEBF" w14:textId="77777777" w:rsidR="00825A1C" w:rsidRDefault="00825A1C" w:rsidP="00825A1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E’ rivolto agli allievi delle classi 5e </w:t>
            </w:r>
          </w:p>
          <w:p w14:paraId="505271AA" w14:textId="77777777" w:rsidR="00825A1C" w:rsidRDefault="00825A1C" w:rsidP="00825A1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-prevede l’ascolto di brani musicali di generi diversi </w:t>
            </w:r>
          </w:p>
          <w:p w14:paraId="05DF5D27" w14:textId="77777777" w:rsidR="00825A1C" w:rsidRDefault="00825A1C" w:rsidP="00825A1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-eseguire in gruppo brani vocali appartenenti a vari repertori curando intonazione, espressività e interpretazione anche con l’uso di strumentario </w:t>
            </w:r>
          </w:p>
          <w:p w14:paraId="76BD3862" w14:textId="1B085309" w:rsidR="00825A1C" w:rsidRDefault="00825A1C" w:rsidP="00825A1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analisi e utilizzo delle principali caratteristiche del suono: altezza, durata, intensità, timbro, fonte </w:t>
            </w:r>
          </w:p>
          <w:p w14:paraId="5317BDDB" w14:textId="524907A2" w:rsidR="00C12339" w:rsidRPr="00C12339" w:rsidRDefault="00C12339" w:rsidP="00C12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825A1C">
        <w:trPr>
          <w:trHeight w:val="4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4C3C2503" w:rsidR="00D01602" w:rsidRPr="00825A1C" w:rsidRDefault="00D01602" w:rsidP="00825A1C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825A1C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24912E69" w:rsidR="00D01602" w:rsidRPr="00767356" w:rsidRDefault="00334DCC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3/10/2017</w:t>
      </w:r>
    </w:p>
    <w:p w14:paraId="07057217" w14:textId="50FDE1D6" w:rsidR="00D01602" w:rsidRPr="00767356" w:rsidRDefault="00334DCC" w:rsidP="00334DCC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Giovanna Coppetti</w:t>
      </w:r>
    </w:p>
    <w:p w14:paraId="76F68F3B" w14:textId="77777777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11"/>
      <w:footerReference w:type="default" r:id="rId12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3EE44" w14:textId="77777777" w:rsidR="00D05F16" w:rsidRDefault="00D05F16">
      <w:pPr>
        <w:spacing w:after="0" w:line="240" w:lineRule="auto"/>
      </w:pPr>
      <w:r>
        <w:separator/>
      </w:r>
    </w:p>
  </w:endnote>
  <w:endnote w:type="continuationSeparator" w:id="0">
    <w:p w14:paraId="2F5BC4A3" w14:textId="77777777" w:rsidR="00D05F16" w:rsidRDefault="00D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D05F16" w:rsidP="002847BA">
    <w:pPr>
      <w:pStyle w:val="Pidipagina"/>
      <w:ind w:right="360"/>
    </w:pPr>
  </w:p>
  <w:p w14:paraId="16F9D97F" w14:textId="77777777" w:rsidR="00157FB7" w:rsidRDefault="00D05F16"/>
  <w:p w14:paraId="0A19A333" w14:textId="77777777" w:rsidR="00157FB7" w:rsidRDefault="00D05F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9606" w14:textId="77777777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4DCC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51448D2C" w:rsidR="00157FB7" w:rsidRPr="009622D8" w:rsidRDefault="00334DCC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7D80" w14:textId="77777777" w:rsidR="00D05F16" w:rsidRDefault="00D05F16">
      <w:pPr>
        <w:spacing w:after="0" w:line="240" w:lineRule="auto"/>
      </w:pPr>
      <w:r>
        <w:separator/>
      </w:r>
    </w:p>
  </w:footnote>
  <w:footnote w:type="continuationSeparator" w:id="0">
    <w:p w14:paraId="69C7F8C6" w14:textId="77777777" w:rsidR="00D05F16" w:rsidRDefault="00D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3D7"/>
    <w:multiLevelType w:val="hybridMultilevel"/>
    <w:tmpl w:val="BD4EDC86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2"/>
    <w:rsid w:val="001564D4"/>
    <w:rsid w:val="001D6A03"/>
    <w:rsid w:val="00210AE6"/>
    <w:rsid w:val="00334DCC"/>
    <w:rsid w:val="0052120D"/>
    <w:rsid w:val="00610036"/>
    <w:rsid w:val="007F2DDA"/>
    <w:rsid w:val="00825A1C"/>
    <w:rsid w:val="00870C63"/>
    <w:rsid w:val="009F75A9"/>
    <w:rsid w:val="00A30F58"/>
    <w:rsid w:val="00B12CE9"/>
    <w:rsid w:val="00B514E8"/>
    <w:rsid w:val="00C12339"/>
    <w:rsid w:val="00C43FA3"/>
    <w:rsid w:val="00D01602"/>
    <w:rsid w:val="00D05F16"/>
    <w:rsid w:val="00D90538"/>
    <w:rsid w:val="00D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C63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customStyle="1" w:styleId="Default">
    <w:name w:val="Default"/>
    <w:rsid w:val="00DD03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825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C63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customStyle="1" w:styleId="Default">
    <w:name w:val="Default"/>
    <w:rsid w:val="00DD03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82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csmargheritahacksandonatomi.gov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EDFA-5120-4637-9FA5-913B63E5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ALBERTO</cp:lastModifiedBy>
  <cp:revision>3</cp:revision>
  <dcterms:created xsi:type="dcterms:W3CDTF">2017-10-01T11:37:00Z</dcterms:created>
  <dcterms:modified xsi:type="dcterms:W3CDTF">2017-10-03T06:30:00Z</dcterms:modified>
</cp:coreProperties>
</file>