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Default="00D01602" w:rsidP="00D01602"/>
    <w:p w:rsidR="00D01602" w:rsidRDefault="00D01602" w:rsidP="00D01602"/>
    <w:p w:rsidR="00D01602" w:rsidRDefault="00D01602" w:rsidP="00D01602"/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A05940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0B348C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0B348C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D01602" w:rsidRDefault="00106B75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 Ins. </w:t>
      </w:r>
      <w:bookmarkStart w:id="0" w:name="_GoBack"/>
      <w:bookmarkEnd w:id="0"/>
      <w:r w:rsidR="00933E52">
        <w:rPr>
          <w:rFonts w:ascii="Times New Roman" w:hAnsi="Times New Roman"/>
          <w:sz w:val="20"/>
          <w:szCs w:val="20"/>
        </w:rPr>
        <w:t>Margaret Carluccio</w:t>
      </w:r>
      <w:r w:rsidR="00D01602" w:rsidRPr="00767356">
        <w:rPr>
          <w:rFonts w:ascii="Times New Roman" w:hAnsi="Times New Roman"/>
          <w:sz w:val="20"/>
          <w:szCs w:val="20"/>
        </w:rPr>
        <w:t xml:space="preserve"> 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:rsidTr="000F50FC">
        <w:trPr>
          <w:trHeight w:val="728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935676" w:rsidRPr="0076735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31B">
              <w:rPr>
                <w:rFonts w:ascii="Times New Roman" w:hAnsi="Times New Roman"/>
                <w:sz w:val="20"/>
                <w:szCs w:val="20"/>
              </w:rPr>
              <w:t>“Let’s play English”</w:t>
            </w:r>
          </w:p>
          <w:p w:rsidR="00D01602" w:rsidRPr="0076735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5531B"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D01602" w:rsidRPr="0076735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 della scuola primaria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COMPETENZE CHIAVE E DI CITTADINANZA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Sviluppo, valorizzazione e potenziamento delle competenze in lingua straniera.</w:t>
            </w:r>
            <w:r w:rsidRPr="00B9275E">
              <w:rPr>
                <w:rFonts w:ascii="Times New Roman" w:hAnsi="Times New Roman"/>
                <w:sz w:val="20"/>
                <w:szCs w:val="20"/>
              </w:rPr>
              <w:t xml:space="preserve"> Favorire la conoscenza della cultura anglofona attraverso attività trasversali a tutte le discipline. </w:t>
            </w:r>
          </w:p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-F</w:t>
            </w:r>
            <w:r w:rsidRPr="002C7047">
              <w:rPr>
                <w:rFonts w:ascii="Times New Roman" w:hAnsi="Times New Roman"/>
                <w:sz w:val="20"/>
                <w:szCs w:val="20"/>
              </w:rPr>
              <w:t>amiliarizzare con la lingua inglese;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scoprirne la peculiarità e la sonorità;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Infondere entusiasmo per l’acquisizione della lingua inglese;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Elevare nei partecipanti la fiducia nelle proprie capacità;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>- Motivare gli studenti ad esprimersi in inglese;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Migliorare la pronuncia in lingua inglese; 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Interiorizzare strutture e suoni tipici della lingua straniera;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>- Fissare semplici strutture, funzioni e lessico nella memoria a lungo termine;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 - Coinvolgere la globalità emotiva ed affettiva dello studente;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>- Stimolare la conversazione in modo spontaneo.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047">
              <w:rPr>
                <w:rFonts w:ascii="Times New Roman" w:hAnsi="Times New Roman"/>
                <w:sz w:val="20"/>
                <w:szCs w:val="20"/>
              </w:rPr>
              <w:t xml:space="preserve">Riconoscere e riprodurre suoni 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7047">
              <w:rPr>
                <w:rFonts w:ascii="Times New Roman" w:hAnsi="Times New Roman"/>
                <w:sz w:val="20"/>
                <w:szCs w:val="20"/>
              </w:rPr>
              <w:t>ritmi della lingua inglese;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 - Percepire il ritmo e l’intonazione della lingua inglese come elementi comunicativi e per esprimere piacere, dispiacere, emozioni …;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Seguire istruzioni in L2 per eseguire procedure;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>- Drammatizzare dialoghi in L2 utilizzando i linguaggi gestuali e motori per comunicare stati d’animo, idee e situazioni;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Fare uso del corpo e del movimento per rappresentare situazioni comunicative reali e/o fantastiche;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Sviluppare le abilità manuali, percettive, sensoriali e le abilità di memorizzazione e di concentrazione, vissute attraverso la lingua inglese;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imparare divertendosi;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aprirsi ad una realtà europea e internazionale sempre più multilingue;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agire e fare attività coinvolgenti attraverso le quali favorire anche la socializzazione;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interagire, conoscere e rispettare altre culture;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acquisire un sempre più ampio patrimonio lessicale;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047">
              <w:rPr>
                <w:rFonts w:ascii="Times New Roman" w:hAnsi="Times New Roman"/>
                <w:sz w:val="20"/>
                <w:szCs w:val="20"/>
              </w:rPr>
              <w:t xml:space="preserve">- comunicare e allargare i propri orizzonti culturali; </w:t>
            </w:r>
          </w:p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Obiettivo di processo (event.)</w:t>
            </w:r>
          </w:p>
        </w:tc>
        <w:tc>
          <w:tcPr>
            <w:tcW w:w="7046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77E7">
              <w:rPr>
                <w:rFonts w:ascii="Times New Roman" w:hAnsi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tenziare la capacità di ascolto e </w:t>
            </w:r>
            <w:r w:rsidRPr="006177E7">
              <w:rPr>
                <w:rFonts w:ascii="Times New Roman" w:hAnsi="Times New Roman"/>
                <w:sz w:val="20"/>
                <w:szCs w:val="20"/>
              </w:rPr>
              <w:t xml:space="preserve">comprensione e affinare la pronuncia attraverso laboratori per piccoli gruppi di livello. </w:t>
            </w:r>
          </w:p>
          <w:p w:rsidR="00935676" w:rsidRDefault="00935676" w:rsidP="00935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81A">
              <w:rPr>
                <w:rFonts w:ascii="Times New Roman" w:hAnsi="Times New Roman" w:cs="Times New Roman"/>
                <w:sz w:val="20"/>
                <w:szCs w:val="20"/>
              </w:rPr>
              <w:t>Potenziare abilità linguistiche in alunni con maggiore predisposizione alla lingua inglese  proponendo la frequenza di un corso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 orario extrascolastico,</w:t>
            </w:r>
            <w:r w:rsidRPr="0052781A">
              <w:rPr>
                <w:rFonts w:ascii="Times New Roman" w:hAnsi="Times New Roman" w:cs="Times New Roman"/>
                <w:sz w:val="20"/>
                <w:szCs w:val="20"/>
              </w:rPr>
              <w:t xml:space="preserve"> mediante il superamento di un test attitudinale Movers(Cambrige Young Learners English).</w:t>
            </w:r>
          </w:p>
          <w:p w:rsidR="00935676" w:rsidRDefault="00935676" w:rsidP="00935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 corso sarà condotto da una professoressa di lingua in servizio presso la scuola secondaria Galileo Galilei. </w:t>
            </w:r>
          </w:p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D01602" w:rsidRPr="0076735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77E7">
              <w:rPr>
                <w:rFonts w:ascii="Times New Roman" w:hAnsi="Times New Roman"/>
                <w:sz w:val="20"/>
                <w:szCs w:val="20"/>
              </w:rPr>
              <w:t>La scuola si riconosce come ambiente atto a promuovere la creatività e l’espressione artistica degli alunni e si prefigge tale obiettivo, anche, per la promozione della lingua inglese come strumento efficace di comunicazione da potenziare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Halloween;</w:t>
            </w:r>
          </w:p>
          <w:p w:rsidR="002A3150" w:rsidRDefault="002A3150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Christmas carols;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Winter and spring decorations;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Easter </w:t>
            </w:r>
            <w:r w:rsidRPr="006177E7">
              <w:rPr>
                <w:rFonts w:ascii="Times New Roman" w:hAnsi="Times New Roman"/>
                <w:sz w:val="20"/>
                <w:szCs w:val="20"/>
              </w:rPr>
              <w:t xml:space="preserve">exhibition, </w:t>
            </w:r>
          </w:p>
          <w:p w:rsidR="00935676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Songs</w:t>
            </w:r>
            <w:r w:rsidRPr="006177E7">
              <w:rPr>
                <w:rFonts w:ascii="Times New Roman" w:hAnsi="Times New Roman"/>
                <w:sz w:val="20"/>
                <w:szCs w:val="20"/>
              </w:rPr>
              <w:t xml:space="preserve"> for friends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5676" w:rsidRPr="006177E7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Corso</w:t>
            </w:r>
            <w:r w:rsidRPr="006177E7">
              <w:rPr>
                <w:rFonts w:ascii="Times New Roman" w:hAnsi="Times New Roman"/>
                <w:sz w:val="20"/>
                <w:szCs w:val="20"/>
              </w:rPr>
              <w:t xml:space="preserve"> di potenziamento per bambini di quarta e quinta con buona predisposizione alla lingua inglese </w:t>
            </w:r>
          </w:p>
          <w:p w:rsidR="00935676" w:rsidRPr="006177E7" w:rsidRDefault="00935676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7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 attività si realizzeranno nel corso dell’intero anno scolastico.</w:t>
            </w:r>
          </w:p>
          <w:p w:rsidR="00D01602" w:rsidRPr="00767356" w:rsidRDefault="00D01602" w:rsidP="009356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767356" w:rsidRDefault="002A315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33C">
              <w:rPr>
                <w:rFonts w:ascii="Times New Roman" w:hAnsi="Times New Roman"/>
                <w:sz w:val="20"/>
                <w:szCs w:val="20"/>
              </w:rPr>
              <w:t>Acquisto di materiali di facile consumo per l’allestimento delle mostre di lavori e per le attività di raccordo arte-inglese.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D01602" w:rsidRPr="00767356" w:rsidRDefault="002A315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Docente referente 20 ore come coordinatrice di inglese per la scuola primaria e in qualità di responsabile in merito alla realizzazione e somministrazione delle prove inerenti al corso di potenziamento e l’avvio dello stesso.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D01602" w:rsidRPr="00767356" w:rsidRDefault="002A315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 di inglese, palestra, palestrina.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:rsidR="00D01602" w:rsidRPr="00767356" w:rsidRDefault="002A315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B0C">
              <w:rPr>
                <w:rFonts w:ascii="Times New Roman" w:hAnsi="Times New Roman"/>
                <w:sz w:val="20"/>
                <w:szCs w:val="20"/>
              </w:rPr>
              <w:t>Raccolte fotografiche dei momenti significativi del progetto. Test di avanzamento per i corsi di potenziamento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D01602" w:rsidRPr="00767356" w:rsidRDefault="002A3150" w:rsidP="002A31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B0C">
              <w:rPr>
                <w:rFonts w:ascii="Times New Roman" w:hAnsi="Times New Roman"/>
                <w:sz w:val="20"/>
                <w:szCs w:val="20"/>
              </w:rPr>
              <w:t>Miglioramenti significativi nella capacità di ascolto e comprensione di semplici istruzioni e di lavoro di team.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D01602" w:rsidRPr="00767356" w:rsidRDefault="006F0973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Potenziamento della capacità di ascolto attivo e sempre più consapevole attraverso il globale coinvolgiento emotivo ed affettivo dello studente.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D01602" w:rsidRPr="00767356" w:rsidRDefault="00933E5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C4B0C">
              <w:rPr>
                <w:rFonts w:ascii="Times New Roman" w:hAnsi="Times New Roman"/>
                <w:b/>
              </w:rPr>
              <w:t>E’ rivolto a tutti gli alunni  - favorisce la conoscenza approfondita della  cultura anglofona attraverso attività  trasversali  in p</w:t>
            </w:r>
            <w:r>
              <w:rPr>
                <w:rFonts w:ascii="Times New Roman" w:hAnsi="Times New Roman"/>
                <w:b/>
              </w:rPr>
              <w:t>eriodi significativi dell’anno(</w:t>
            </w:r>
            <w:r w:rsidRPr="00AC4B0C">
              <w:rPr>
                <w:rFonts w:ascii="Times New Roman" w:hAnsi="Times New Roman"/>
                <w:b/>
              </w:rPr>
              <w:t>Hallowee</w:t>
            </w:r>
            <w:r>
              <w:rPr>
                <w:rFonts w:ascii="Times New Roman" w:hAnsi="Times New Roman"/>
                <w:b/>
              </w:rPr>
              <w:t xml:space="preserve">n, Christmas carols,winter and spring decorations, Easter exhibition, </w:t>
            </w:r>
            <w:r w:rsidRPr="00AC4B0C">
              <w:rPr>
                <w:rFonts w:ascii="Times New Roman" w:hAnsi="Times New Roman"/>
                <w:b/>
              </w:rPr>
              <w:t>songs for friends</w:t>
            </w:r>
            <w:r>
              <w:rPr>
                <w:rFonts w:ascii="Times New Roman" w:hAnsi="Times New Roman"/>
                <w:b/>
              </w:rPr>
              <w:t>) -</w:t>
            </w:r>
            <w:r w:rsidRPr="00AC4B0C">
              <w:rPr>
                <w:rFonts w:ascii="Times New Roman" w:hAnsi="Times New Roman"/>
                <w:b/>
              </w:rPr>
              <w:t>organizza attività di potenziamento per  le classi 4e e 5e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  €__</w:t>
            </w:r>
            <w:r w:rsidR="00933E52">
              <w:rPr>
                <w:rFonts w:ascii="Times New Roman" w:hAnsi="Times New Roman"/>
                <w:sz w:val="20"/>
                <w:szCs w:val="20"/>
              </w:rPr>
              <w:t>200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_</w:t>
            </w:r>
            <w:r w:rsidR="00933E52">
              <w:rPr>
                <w:rFonts w:ascii="Times New Roman" w:hAnsi="Times New Roman"/>
                <w:sz w:val="20"/>
                <w:szCs w:val="20"/>
              </w:rPr>
              <w:t>per acquisto materiale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San Donato Milanese,</w:t>
      </w:r>
      <w:r w:rsidR="00933E52">
        <w:rPr>
          <w:rFonts w:ascii="Times New Roman" w:hAnsi="Times New Roman"/>
          <w:sz w:val="20"/>
          <w:szCs w:val="20"/>
        </w:rPr>
        <w:t>6/10/2017</w:t>
      </w:r>
      <w:r w:rsidRPr="00767356">
        <w:rPr>
          <w:rFonts w:ascii="Times New Roman" w:hAnsi="Times New Roman"/>
          <w:sz w:val="20"/>
          <w:szCs w:val="20"/>
        </w:rPr>
        <w:t xml:space="preserve"> ……………... </w:t>
      </w:r>
    </w:p>
    <w:p w:rsidR="00D01602" w:rsidRPr="00767356" w:rsidRDefault="00D01602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____</w:t>
      </w:r>
      <w:r w:rsidR="00933E52">
        <w:rPr>
          <w:rFonts w:ascii="Times New Roman" w:hAnsi="Times New Roman"/>
          <w:sz w:val="20"/>
          <w:szCs w:val="20"/>
        </w:rPr>
        <w:t>Margaret Carluccio</w:t>
      </w:r>
      <w:r w:rsidRPr="00767356">
        <w:rPr>
          <w:rFonts w:ascii="Times New Roman" w:hAnsi="Times New Roman"/>
          <w:sz w:val="20"/>
          <w:szCs w:val="20"/>
        </w:rPr>
        <w:t>__________________________</w:t>
      </w:r>
    </w:p>
    <w:p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940" w:rsidRDefault="00A05940" w:rsidP="00D253CC">
      <w:pPr>
        <w:spacing w:after="0" w:line="240" w:lineRule="auto"/>
      </w:pPr>
      <w:r>
        <w:separator/>
      </w:r>
    </w:p>
  </w:endnote>
  <w:endnote w:type="continuationSeparator" w:id="0">
    <w:p w:rsidR="00A05940" w:rsidRDefault="00A05940" w:rsidP="00D2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BC03E2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A05940" w:rsidP="002847BA">
    <w:pPr>
      <w:pStyle w:val="Pidipagina"/>
      <w:ind w:right="360"/>
    </w:pPr>
  </w:p>
  <w:p w:rsidR="00157FB7" w:rsidRDefault="00A05940"/>
  <w:p w:rsidR="00157FB7" w:rsidRDefault="00A059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BC03E2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6B75">
      <w:rPr>
        <w:rStyle w:val="Numeropagina"/>
      </w:rPr>
      <w:t>3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0B348C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940" w:rsidRDefault="00A05940" w:rsidP="00D253CC">
      <w:pPr>
        <w:spacing w:after="0" w:line="240" w:lineRule="auto"/>
      </w:pPr>
      <w:r>
        <w:separator/>
      </w:r>
    </w:p>
  </w:footnote>
  <w:footnote w:type="continuationSeparator" w:id="0">
    <w:p w:rsidR="00A05940" w:rsidRDefault="00A05940" w:rsidP="00D25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02"/>
    <w:rsid w:val="000B348C"/>
    <w:rsid w:val="00106B75"/>
    <w:rsid w:val="001564D4"/>
    <w:rsid w:val="001D6A03"/>
    <w:rsid w:val="002A3150"/>
    <w:rsid w:val="00610036"/>
    <w:rsid w:val="006F0973"/>
    <w:rsid w:val="0078671E"/>
    <w:rsid w:val="008C7676"/>
    <w:rsid w:val="008F73F6"/>
    <w:rsid w:val="00933E52"/>
    <w:rsid w:val="00935676"/>
    <w:rsid w:val="0096597A"/>
    <w:rsid w:val="00A05940"/>
    <w:rsid w:val="00A30F58"/>
    <w:rsid w:val="00B77360"/>
    <w:rsid w:val="00BC03E2"/>
    <w:rsid w:val="00D01602"/>
    <w:rsid w:val="00D253CC"/>
    <w:rsid w:val="00D412F7"/>
    <w:rsid w:val="00E1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7FF"/>
  <w15:docId w15:val="{0138ED25-6DB8-4EE5-A8D7-5C80D25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7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71E"/>
    <w:rPr>
      <w:rFonts w:ascii="Tahoma" w:eastAsia="SimSun" w:hAnsi="Tahoma" w:cs="Tahoma"/>
      <w:noProof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9</cp:revision>
  <dcterms:created xsi:type="dcterms:W3CDTF">2017-10-07T19:38:00Z</dcterms:created>
  <dcterms:modified xsi:type="dcterms:W3CDTF">2017-10-15T20:45:00Z</dcterms:modified>
</cp:coreProperties>
</file>