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D4A96" w14:textId="77777777" w:rsidR="007D1301" w:rsidRDefault="00AC4317">
      <w:pPr>
        <w:framePr w:w="3783" w:h="184" w:hRule="exact" w:wrap="auto" w:vAnchor="page" w:hAnchor="page" w:x="3912" w:y="715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Ministero dell'Istruzione, dell'Università e della RICERCA</w:t>
      </w:r>
    </w:p>
    <w:p w14:paraId="0D132CE5" w14:textId="77777777" w:rsidR="007D1301" w:rsidRDefault="00AC4317">
      <w:pPr>
        <w:framePr w:w="3703" w:h="184" w:hRule="exact" w:wrap="auto" w:vAnchor="page" w:hAnchor="page" w:x="4228" w:y="89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MARGHERITA HACK</w:t>
      </w:r>
    </w:p>
    <w:p w14:paraId="33ADFCD9" w14:textId="77777777" w:rsidR="007D1301" w:rsidRDefault="00AC4317">
      <w:pPr>
        <w:framePr w:w="3172" w:h="184" w:hRule="exact" w:wrap="auto" w:vAnchor="page" w:hAnchor="page" w:x="4507" w:y="1079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14:paraId="34C9D864" w14:textId="77777777" w:rsidR="007D1301" w:rsidRDefault="00AC4317">
      <w:pPr>
        <w:framePr w:w="4277" w:h="184" w:hRule="exact" w:wrap="auto" w:vAnchor="page" w:hAnchor="page" w:x="3950" w:y="1261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14:paraId="3E7F39B6" w14:textId="77777777" w:rsidR="007D1301" w:rsidRDefault="00AC4317">
      <w:pPr>
        <w:framePr w:w="4798" w:h="184" w:hRule="exact" w:wrap="auto" w:vAnchor="page" w:hAnchor="page" w:x="3700" w:y="144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e-mail: MIIC8FB00P@istruzione.it±PEC: </w:t>
      </w:r>
      <w:r>
        <w:rPr>
          <w:rFonts w:ascii="Times New Roman" w:hAnsi="Times New Roman" w:cs="Times New Roman"/>
          <w:color w:val="000000"/>
          <w:sz w:val="16"/>
          <w:szCs w:val="16"/>
        </w:rPr>
        <w:t>MIIC8FB00P@pec.istruzione.it</w:t>
      </w:r>
    </w:p>
    <w:p w14:paraId="31D5DC9A" w14:textId="77777777" w:rsidR="007D1301" w:rsidRDefault="007D1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7CBF7B" w14:textId="77777777" w:rsidR="007D1301" w:rsidRDefault="007D1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CAD315" w14:textId="77777777" w:rsidR="007D1301" w:rsidRDefault="007D1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10C125" w14:textId="77777777" w:rsidR="007D1301" w:rsidRDefault="00AC431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SCHEDA DI PROGETTO</w:t>
      </w:r>
    </w:p>
    <w:p w14:paraId="0DCE6D4E" w14:textId="77777777" w:rsidR="007D1301" w:rsidRDefault="00AC431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2017/2018</w:t>
      </w:r>
    </w:p>
    <w:p w14:paraId="4343FA0A" w14:textId="77777777" w:rsidR="007D1301" w:rsidRDefault="007D13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DC2E06" w14:textId="77777777" w:rsidR="007D1301" w:rsidRDefault="00AC4317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Daniela </w:t>
      </w:r>
      <w:r>
        <w:rPr>
          <w:rFonts w:ascii="Arial" w:hAnsi="Arial" w:cs="Arial"/>
          <w:sz w:val="18"/>
          <w:szCs w:val="18"/>
        </w:rPr>
        <w:t>D’Elia</w:t>
      </w:r>
    </w:p>
    <w:p w14:paraId="16DE4E3C" w14:textId="77777777" w:rsidR="007D1301" w:rsidRDefault="007D13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C1428" w14:textId="77777777" w:rsidR="007D1301" w:rsidRDefault="00AC43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A</w:t>
      </w:r>
      <w:bookmarkStart w:id="0" w:name="_GoBack"/>
      <w:bookmarkEnd w:id="0"/>
    </w:p>
    <w:p w14:paraId="724E43DB" w14:textId="77777777" w:rsidR="007D1301" w:rsidRDefault="007D1301">
      <w:pPr>
        <w:spacing w:after="0" w:line="240" w:lineRule="auto"/>
      </w:pPr>
    </w:p>
    <w:tbl>
      <w:tblPr>
        <w:tblStyle w:val="Grigliatabella"/>
        <w:tblW w:w="1034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2802"/>
        <w:gridCol w:w="7542"/>
      </w:tblGrid>
      <w:tr w:rsidR="007D1301" w14:paraId="3846FC2F" w14:textId="77777777">
        <w:trPr>
          <w:trHeight w:val="467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3F8E1607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48EFF2EB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Sport e legalità</w:t>
            </w:r>
          </w:p>
        </w:tc>
      </w:tr>
      <w:tr w:rsidR="007D1301" w14:paraId="09450F96" w14:textId="77777777">
        <w:trPr>
          <w:trHeight w:val="417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1645769C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01E408DB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Tutti i bambini della pagoda gialla (sez. </w:t>
            </w:r>
            <w:proofErr w:type="gramStart"/>
            <w:r>
              <w:rPr>
                <w:rFonts w:ascii="Arial" w:hAnsi="Arial" w:cs="Arial"/>
              </w:rPr>
              <w:t>G,H</w:t>
            </w:r>
            <w:proofErr w:type="gramEnd"/>
            <w:r>
              <w:rPr>
                <w:rFonts w:ascii="Arial" w:hAnsi="Arial" w:cs="Arial"/>
              </w:rPr>
              <w:t xml:space="preserve">,I,L,M,N) della scuola dell’infanzia Martiri di Cefalonia </w:t>
            </w:r>
          </w:p>
          <w:p w14:paraId="2434664B" w14:textId="77777777" w:rsidR="007D1301" w:rsidRDefault="007D13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1301" w14:paraId="775D94B2" w14:textId="77777777">
        <w:trPr>
          <w:trHeight w:val="55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3973AAC9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256BAAD3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- Infondere il rispetto di sé e degli altri sviluppando gradualmente nel bambino la capacità di leggere e interpretare i </w:t>
            </w:r>
            <w:r>
              <w:rPr>
                <w:rFonts w:ascii="Arial" w:hAnsi="Arial" w:cs="Arial"/>
              </w:rPr>
              <w:t>messaggi provenienti dal corpo proprio e altrui.</w:t>
            </w:r>
          </w:p>
          <w:p w14:paraId="2E853745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- Rispettare semplici regole della vita di gruppo partendo da giochi di squadra.</w:t>
            </w:r>
          </w:p>
          <w:p w14:paraId="47A62B02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-Far vivere ai bambini i principi di una cultura sportiva portatrice di lealtà, di senso di appartenenza e di responsabilità, </w:t>
            </w:r>
            <w:r>
              <w:rPr>
                <w:rFonts w:ascii="Arial" w:hAnsi="Arial" w:cs="Arial"/>
              </w:rPr>
              <w:t>di controllo dell’aggressività, di negazione di qualunque forma di violenza.</w:t>
            </w:r>
          </w:p>
          <w:p w14:paraId="4CCCB681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- Saper riconoscere il valore di materiali e attrezzature della comunità avendone cura e utilizzandoli in maniera corretta.</w:t>
            </w:r>
          </w:p>
          <w:p w14:paraId="64825757" w14:textId="77777777" w:rsidR="007D1301" w:rsidRDefault="007D13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1301" w14:paraId="6507B419" w14:textId="77777777">
        <w:trPr>
          <w:trHeight w:val="561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5C1E66AD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1555D7FD" w14:textId="77777777" w:rsidR="007D1301" w:rsidRDefault="00AC4317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Il bambino vive pienamente la </w:t>
            </w:r>
            <w:r>
              <w:rPr>
                <w:rFonts w:ascii="Arial" w:hAnsi="Arial" w:cs="Arial"/>
              </w:rPr>
              <w:t xml:space="preserve">propria corporeità, ne percepisce il potenziale comunicativo ed </w:t>
            </w:r>
            <w:proofErr w:type="gramStart"/>
            <w:r>
              <w:rPr>
                <w:rFonts w:ascii="Arial" w:hAnsi="Arial" w:cs="Arial"/>
              </w:rPr>
              <w:t>espressivo,  matura</w:t>
            </w:r>
            <w:proofErr w:type="gramEnd"/>
            <w:r>
              <w:rPr>
                <w:rFonts w:ascii="Arial" w:hAnsi="Arial" w:cs="Arial"/>
              </w:rPr>
              <w:t xml:space="preserve"> condotte che gli consentono una buona autonomia nella gestione della giornata a scuola.</w:t>
            </w:r>
          </w:p>
          <w:p w14:paraId="194BAFEC" w14:textId="77777777" w:rsidR="007D1301" w:rsidRDefault="00AC4317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</w:rPr>
              <w:t>Riconosce i segnali e i ritmi del proprio corpo.</w:t>
            </w:r>
          </w:p>
          <w:p w14:paraId="07A8AE41" w14:textId="77777777" w:rsidR="007D1301" w:rsidRDefault="00AC4317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</w:rPr>
              <w:t>Prova piacere nel movimento e speri</w:t>
            </w:r>
            <w:r>
              <w:rPr>
                <w:rFonts w:ascii="Arial" w:hAnsi="Arial" w:cs="Arial"/>
              </w:rPr>
              <w:t>menta schemi posturali e motori, li applica nei giochi di gruppo.</w:t>
            </w:r>
          </w:p>
          <w:p w14:paraId="6D31ABF5" w14:textId="77777777" w:rsidR="007D1301" w:rsidRDefault="00AC4317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</w:rPr>
              <w:t>Controlla l’esecuzione del gesto, valuta il rischio, interagisce con gli altri nei giochi di movimento, nella musica, nella danza, nella comunicazione espressiva.</w:t>
            </w:r>
          </w:p>
          <w:p w14:paraId="259EC6A0" w14:textId="77777777" w:rsidR="007D1301" w:rsidRDefault="00AC4317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</w:rPr>
              <w:t>Il bambino-cittadino svilup</w:t>
            </w:r>
            <w:r>
              <w:rPr>
                <w:rFonts w:ascii="Arial" w:hAnsi="Arial" w:cs="Arial"/>
              </w:rPr>
              <w:t xml:space="preserve">pa il senso di appartenenza ad una comunità partendo dalla propria realtà scolastica. </w:t>
            </w:r>
          </w:p>
          <w:p w14:paraId="57369BE6" w14:textId="77777777" w:rsidR="007D1301" w:rsidRDefault="007D13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1301" w14:paraId="04B7BB82" w14:textId="77777777">
        <w:trPr>
          <w:trHeight w:val="41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73951259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38EDD66B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3 anni:</w:t>
            </w:r>
          </w:p>
          <w:p w14:paraId="1747AAE7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>Sviluppare un uso corretto del proprio corpo</w:t>
            </w:r>
          </w:p>
          <w:p w14:paraId="33742634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 Coordinare i propri movimenti muovendosi con sicurezza </w:t>
            </w:r>
          </w:p>
          <w:p w14:paraId="09EA5AE8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Sviluppare la conoscenza e la </w:t>
            </w:r>
            <w:r>
              <w:rPr>
                <w:rFonts w:ascii="Arial" w:hAnsi="Arial" w:cs="Arial"/>
              </w:rPr>
              <w:t>consapevolezza del sé corporeo</w:t>
            </w:r>
          </w:p>
          <w:p w14:paraId="7EAE2ABA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>Imparare ad accettare la frustrazione, le regole e le norme nel percorso di crescita</w:t>
            </w:r>
          </w:p>
          <w:p w14:paraId="7AAA2777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Interiorizzare semplici regole di cura </w:t>
            </w:r>
            <w:proofErr w:type="gramStart"/>
            <w:r>
              <w:rPr>
                <w:rFonts w:ascii="Arial" w:hAnsi="Arial" w:cs="Arial"/>
              </w:rPr>
              <w:t>personale  e</w:t>
            </w:r>
            <w:proofErr w:type="gramEnd"/>
            <w:r>
              <w:rPr>
                <w:rFonts w:ascii="Arial" w:hAnsi="Arial" w:cs="Arial"/>
              </w:rPr>
              <w:t xml:space="preserve"> di convivenza </w:t>
            </w:r>
          </w:p>
          <w:p w14:paraId="6CB8F0D8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Rispettare se </w:t>
            </w:r>
            <w:proofErr w:type="gramStart"/>
            <w:r>
              <w:rPr>
                <w:rFonts w:ascii="Arial" w:hAnsi="Arial" w:cs="Arial"/>
              </w:rPr>
              <w:t>stesso ,gli</w:t>
            </w:r>
            <w:proofErr w:type="gramEnd"/>
            <w:r>
              <w:rPr>
                <w:rFonts w:ascii="Arial" w:hAnsi="Arial" w:cs="Arial"/>
              </w:rPr>
              <w:t xml:space="preserve"> altri e i materiali</w:t>
            </w:r>
          </w:p>
          <w:p w14:paraId="0DFC8EF9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>Stimolare e favorire la con</w:t>
            </w:r>
            <w:r>
              <w:rPr>
                <w:rFonts w:ascii="Arial" w:hAnsi="Arial" w:cs="Arial"/>
              </w:rPr>
              <w:t>divisione di oggetti e situazioni tra coetanei</w:t>
            </w:r>
          </w:p>
          <w:p w14:paraId="2D05ADB7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>Imparare a dilazionare nel tempo i propri bisogni e desideri</w:t>
            </w:r>
          </w:p>
          <w:p w14:paraId="4DE6155A" w14:textId="77777777" w:rsidR="007D1301" w:rsidRDefault="00AC4317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>Accettare, collaborare, rispettare ed usare regole in piccoli giochi di squadra</w:t>
            </w:r>
          </w:p>
          <w:p w14:paraId="0ECE0FAA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4 anni:</w:t>
            </w:r>
          </w:p>
          <w:p w14:paraId="123BAACD" w14:textId="77777777" w:rsidR="007D1301" w:rsidRDefault="00AC431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</w:rPr>
              <w:t>Rafforzare la conoscenza del sé corporeo</w:t>
            </w:r>
          </w:p>
          <w:p w14:paraId="16143D3D" w14:textId="77777777" w:rsidR="007D1301" w:rsidRDefault="00AC431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Rispettare se </w:t>
            </w:r>
            <w:proofErr w:type="gramStart"/>
            <w:r>
              <w:rPr>
                <w:rFonts w:ascii="Arial" w:hAnsi="Arial" w:cs="Arial"/>
              </w:rPr>
              <w:t>stess</w:t>
            </w:r>
            <w:r>
              <w:rPr>
                <w:rFonts w:ascii="Arial" w:hAnsi="Arial" w:cs="Arial"/>
              </w:rPr>
              <w:t>o ,gli</w:t>
            </w:r>
            <w:proofErr w:type="gramEnd"/>
            <w:r>
              <w:rPr>
                <w:rFonts w:ascii="Arial" w:hAnsi="Arial" w:cs="Arial"/>
              </w:rPr>
              <w:t xml:space="preserve"> altri e i materiali</w:t>
            </w:r>
          </w:p>
          <w:p w14:paraId="217DFA92" w14:textId="77777777" w:rsidR="007D1301" w:rsidRDefault="00AC431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Possedere autocontrollo motorio </w:t>
            </w:r>
          </w:p>
          <w:p w14:paraId="7902695C" w14:textId="77777777" w:rsidR="007D1301" w:rsidRDefault="00AC431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Utilizzare i sensi per la conoscenza della realtà </w:t>
            </w:r>
          </w:p>
          <w:p w14:paraId="6C90E2B5" w14:textId="77777777" w:rsidR="007D1301" w:rsidRDefault="00AC431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</w:rPr>
              <w:t>Partecipare con piacere e curiosità alle attività libere e guidate</w:t>
            </w:r>
          </w:p>
          <w:p w14:paraId="0D56365D" w14:textId="77777777" w:rsidR="007D1301" w:rsidRDefault="00AC431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</w:rPr>
              <w:lastRenderedPageBreak/>
              <w:t xml:space="preserve">Orientarsi in modo autonomo negli spazi scolastici </w:t>
            </w:r>
          </w:p>
          <w:p w14:paraId="3F7043F5" w14:textId="77777777" w:rsidR="007D1301" w:rsidRDefault="00AC4317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</w:rPr>
              <w:t>Imparare a rispettare rego</w:t>
            </w:r>
            <w:r>
              <w:rPr>
                <w:rFonts w:ascii="Arial" w:hAnsi="Arial" w:cs="Arial"/>
              </w:rPr>
              <w:t xml:space="preserve">le e consegne </w:t>
            </w:r>
          </w:p>
          <w:p w14:paraId="50EBF45B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5 anni:</w:t>
            </w:r>
          </w:p>
          <w:p w14:paraId="070A258C" w14:textId="77777777" w:rsidR="007D1301" w:rsidRDefault="00AC4317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Percepire il corpo in rapporto allo spazio </w:t>
            </w:r>
          </w:p>
          <w:p w14:paraId="2B4F2136" w14:textId="77777777" w:rsidR="007D1301" w:rsidRDefault="00AC4317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Rispettare se </w:t>
            </w:r>
            <w:proofErr w:type="gramStart"/>
            <w:r>
              <w:rPr>
                <w:rFonts w:ascii="Arial" w:hAnsi="Arial" w:cs="Arial"/>
              </w:rPr>
              <w:t>stesso ,gli</w:t>
            </w:r>
            <w:proofErr w:type="gramEnd"/>
            <w:r>
              <w:rPr>
                <w:rFonts w:ascii="Arial" w:hAnsi="Arial" w:cs="Arial"/>
              </w:rPr>
              <w:t xml:space="preserve"> altri e i materiali</w:t>
            </w:r>
          </w:p>
          <w:p w14:paraId="15B9D4AF" w14:textId="77777777" w:rsidR="007D1301" w:rsidRDefault="00AC4317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</w:rPr>
              <w:t>Rivelare una buona lateralizzazione</w:t>
            </w:r>
          </w:p>
          <w:p w14:paraId="1520FCAB" w14:textId="77777777" w:rsidR="007D1301" w:rsidRDefault="00AC4317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</w:rPr>
              <w:t>Muoversi nello spazio ad azioni, comandi, suoni, musica</w:t>
            </w:r>
          </w:p>
          <w:p w14:paraId="2D89DD5A" w14:textId="77777777" w:rsidR="007D1301" w:rsidRDefault="00AC4317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Collocare </w:t>
            </w:r>
            <w:proofErr w:type="gramStart"/>
            <w:r>
              <w:rPr>
                <w:rFonts w:ascii="Arial" w:hAnsi="Arial" w:cs="Arial"/>
              </w:rPr>
              <w:t>se</w:t>
            </w:r>
            <w:proofErr w:type="gramEnd"/>
            <w:r>
              <w:rPr>
                <w:rFonts w:ascii="Arial" w:hAnsi="Arial" w:cs="Arial"/>
              </w:rPr>
              <w:t xml:space="preserve"> stesso in base a parametri spaziali</w:t>
            </w:r>
          </w:p>
          <w:p w14:paraId="1CFD8623" w14:textId="77777777" w:rsidR="007D1301" w:rsidRDefault="00AC4317">
            <w:pPr>
              <w:numPr>
                <w:ilvl w:val="0"/>
                <w:numId w:val="3"/>
              </w:numPr>
              <w:spacing w:after="0" w:line="240" w:lineRule="auto"/>
            </w:pPr>
            <w:bookmarkStart w:id="1" w:name="__DdeLink__211_1426021622"/>
            <w:bookmarkEnd w:id="1"/>
            <w:r>
              <w:rPr>
                <w:rFonts w:ascii="Arial" w:hAnsi="Arial" w:cs="Arial"/>
              </w:rPr>
              <w:t>Accettare, collaborare, rispettare ed usare regole in piccoli giochi di squadra</w:t>
            </w:r>
          </w:p>
          <w:p w14:paraId="450FA848" w14:textId="77777777" w:rsidR="007D1301" w:rsidRDefault="007D1301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7D1301" w14:paraId="23E97844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17A12C8A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Altre priorità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1D367A75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Stimolare la comunicazione verbale e non verbale.</w:t>
            </w:r>
          </w:p>
          <w:p w14:paraId="4E04A98D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Condividere un momento ludico didattico con bambini di altre sezioni.</w:t>
            </w:r>
          </w:p>
        </w:tc>
      </w:tr>
      <w:tr w:rsidR="007D1301" w14:paraId="0F13E6FA" w14:textId="77777777">
        <w:trPr>
          <w:trHeight w:val="840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4EB78DB6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72C4641E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Il </w:t>
            </w:r>
            <w:r>
              <w:rPr>
                <w:rFonts w:ascii="Arial" w:hAnsi="Arial" w:cs="Arial"/>
              </w:rPr>
              <w:t>progetto si sviluppa nell'arco dell'intero anno scolastico nella seguente modalità:</w:t>
            </w:r>
          </w:p>
          <w:p w14:paraId="7341CD67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5 incontri con i bambini di 5 anni nei mesi di ottobre/novembre</w:t>
            </w:r>
          </w:p>
          <w:p w14:paraId="3E71E805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5 incontri con i bambini di 4 anni nei mesi di gennaio/febbraio</w:t>
            </w:r>
          </w:p>
          <w:p w14:paraId="32DEEE8B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5 incontri con i bambini di 3 anni nei mesi </w:t>
            </w:r>
            <w:r>
              <w:rPr>
                <w:rFonts w:ascii="Arial" w:hAnsi="Arial" w:cs="Arial"/>
              </w:rPr>
              <w:t>di marzo/aprile</w:t>
            </w:r>
          </w:p>
          <w:p w14:paraId="2D722576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I gruppi saranno composti da bambini di 2 classi uniti per un totale di 15/20 componenti e l’incontro sarà della durata di 45 minuti.</w:t>
            </w:r>
          </w:p>
        </w:tc>
      </w:tr>
      <w:tr w:rsidR="007D1301" w14:paraId="4FE1230D" w14:textId="77777777">
        <w:trPr>
          <w:trHeight w:val="559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0990C6C3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1225D453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</w:rPr>
              <w:t>Attività motorie di tipo percettivo</w:t>
            </w:r>
            <w:r>
              <w:rPr>
                <w:rFonts w:ascii="Arial" w:hAnsi="Arial" w:cs="Arial"/>
              </w:rPr>
              <w:t>:</w:t>
            </w:r>
          </w:p>
          <w:p w14:paraId="504F3171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a. Discriminazione tattile </w:t>
            </w:r>
          </w:p>
          <w:p w14:paraId="0928AC39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b. Discriminazione vis</w:t>
            </w:r>
            <w:r>
              <w:rPr>
                <w:rFonts w:ascii="Arial" w:hAnsi="Arial" w:cs="Arial"/>
              </w:rPr>
              <w:t xml:space="preserve">iva </w:t>
            </w:r>
          </w:p>
          <w:p w14:paraId="7863B6F5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c. Discriminazione uditiva</w:t>
            </w:r>
          </w:p>
          <w:p w14:paraId="246ED44F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d. Presa di coscienza della respirazione</w:t>
            </w:r>
          </w:p>
          <w:p w14:paraId="4AD3A58D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</w:rPr>
              <w:t>Orientamento del corpo:</w:t>
            </w:r>
          </w:p>
          <w:p w14:paraId="3482FDAC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a. Orientamento spaziale </w:t>
            </w:r>
          </w:p>
          <w:p w14:paraId="204A7518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b. Lateralità</w:t>
            </w:r>
          </w:p>
          <w:p w14:paraId="637AE9BE" w14:textId="77777777" w:rsidR="007D1301" w:rsidRDefault="00AC4317">
            <w:pPr>
              <w:spacing w:after="0" w:line="240" w:lineRule="auto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Strutturazione spazio – temporale:</w:t>
            </w:r>
          </w:p>
          <w:p w14:paraId="7D65F78F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a. Assimilazione dei concetti di spazio - tempo </w:t>
            </w:r>
          </w:p>
          <w:p w14:paraId="4BD72B79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b. Sviluppo di questi concetti in relazione a sé, agli altri, agli oggetti </w:t>
            </w:r>
          </w:p>
          <w:p w14:paraId="18ABAAFC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c. Sviluppo del concetto di ritmo</w:t>
            </w:r>
          </w:p>
          <w:p w14:paraId="0CCB39DA" w14:textId="77777777" w:rsidR="007D1301" w:rsidRDefault="00AC4317">
            <w:pPr>
              <w:spacing w:after="0" w:line="240" w:lineRule="auto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Coordinazione globale e segmentaria:</w:t>
            </w:r>
          </w:p>
          <w:p w14:paraId="6B770B6D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a. Discriminazione cinestesica, coscienza ed immagine del corpo </w:t>
            </w:r>
          </w:p>
          <w:p w14:paraId="50FE4D62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b. Sviluppo degli schemi motori di base “cam</w:t>
            </w:r>
            <w:r>
              <w:rPr>
                <w:rFonts w:ascii="Arial" w:hAnsi="Arial" w:cs="Arial"/>
              </w:rPr>
              <w:t xml:space="preserve">minare, correre” </w:t>
            </w:r>
          </w:p>
          <w:p w14:paraId="46EB7AF3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c. Sviluppo degli schemi motori di base “strisciare, rotolare”</w:t>
            </w:r>
          </w:p>
          <w:p w14:paraId="52D887A8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d. Sviluppo degli schemi motori di base “saltare”</w:t>
            </w:r>
          </w:p>
          <w:p w14:paraId="57D90787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e. Sviluppo degli schemi motori di base “portare” </w:t>
            </w:r>
          </w:p>
          <w:p w14:paraId="3C02BB88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f. Capacità di seguire con gli occhi un compagno o un oggetto in movimento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D1301" w14:paraId="57E3335D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0B0A90FA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2F6885D6" w14:textId="77777777" w:rsidR="007D1301" w:rsidRDefault="007D13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1301" w14:paraId="6A164991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423661B5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3B4F3E50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N°34 ore </w:t>
            </w:r>
          </w:p>
        </w:tc>
      </w:tr>
      <w:tr w:rsidR="007D1301" w14:paraId="4640EAF5" w14:textId="77777777">
        <w:trPr>
          <w:trHeight w:val="840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74113CF4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545C5174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Palestra- giardino.</w:t>
            </w:r>
          </w:p>
          <w:p w14:paraId="74ADAFDF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Materiali e attrezzature presenti in palestra.</w:t>
            </w:r>
          </w:p>
        </w:tc>
      </w:tr>
      <w:tr w:rsidR="007D1301" w14:paraId="0B2C652D" w14:textId="77777777">
        <w:trPr>
          <w:trHeight w:val="559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4382970A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03E932E7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Verifica effettuate tramite l’osservazione diretta dei bambini e la compilazione di una griglia. </w:t>
            </w:r>
          </w:p>
          <w:p w14:paraId="24527A59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Valutazione finale del progetto attraverso una percentuale dedotta dalla griglia di verifica.</w:t>
            </w:r>
          </w:p>
        </w:tc>
      </w:tr>
      <w:tr w:rsidR="007D1301" w14:paraId="1E64B4D2" w14:textId="77777777">
        <w:trPr>
          <w:trHeight w:val="559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413235B5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3E4329BC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Riconoscere, comunicare e interagire </w:t>
            </w:r>
            <w:r>
              <w:rPr>
                <w:rFonts w:ascii="Arial" w:hAnsi="Arial" w:cs="Arial"/>
              </w:rPr>
              <w:t>positivamente con i propri compagni e con quelli delle altre sezioni (stare bene insieme).</w:t>
            </w:r>
          </w:p>
          <w:p w14:paraId="31A4E7FD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</w:rPr>
              <w:t>Superare gradualmente ansie e paure legate alla timidezza e diffidenza motoria.</w:t>
            </w:r>
          </w:p>
        </w:tc>
      </w:tr>
      <w:tr w:rsidR="007D1301" w14:paraId="4A1579ED" w14:textId="77777777">
        <w:trPr>
          <w:trHeight w:val="840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1879A2F3" w14:textId="77777777" w:rsidR="007D1301" w:rsidRDefault="00AC43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0D6D02C5" w14:textId="77777777" w:rsidR="007D1301" w:rsidRDefault="00AC431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</w:rPr>
              <w:t>Padronanza dello schema corporeo</w:t>
            </w:r>
          </w:p>
          <w:p w14:paraId="2A1005C7" w14:textId="77777777" w:rsidR="007D1301" w:rsidRDefault="00AC431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</w:rPr>
              <w:t>Potenziamento dell’empatia</w:t>
            </w:r>
          </w:p>
          <w:p w14:paraId="43BA5E56" w14:textId="77777777" w:rsidR="007D1301" w:rsidRDefault="00AC431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</w:rPr>
              <w:t>Maggior senso di responsabilità collettiva</w:t>
            </w:r>
          </w:p>
          <w:p w14:paraId="5FC1E82D" w14:textId="77777777" w:rsidR="007D1301" w:rsidRDefault="00AC431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</w:rPr>
              <w:lastRenderedPageBreak/>
              <w:t xml:space="preserve">Destrezza motoria </w:t>
            </w:r>
          </w:p>
          <w:p w14:paraId="2CF4E582" w14:textId="77777777" w:rsidR="007D1301" w:rsidRDefault="00AC431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Dilatazione dei tempi di azione </w:t>
            </w:r>
          </w:p>
        </w:tc>
      </w:tr>
    </w:tbl>
    <w:p w14:paraId="34F360CD" w14:textId="77777777" w:rsidR="007D1301" w:rsidRDefault="007D1301">
      <w:pPr>
        <w:spacing w:after="0" w:line="240" w:lineRule="auto"/>
        <w:rPr>
          <w:rFonts w:ascii="Arial" w:hAnsi="Arial" w:cs="Arial"/>
        </w:rPr>
      </w:pPr>
    </w:p>
    <w:p w14:paraId="77D55AEE" w14:textId="77777777" w:rsidR="007D1301" w:rsidRDefault="007D1301">
      <w:pPr>
        <w:spacing w:after="0" w:line="240" w:lineRule="auto"/>
        <w:rPr>
          <w:rFonts w:ascii="Arial" w:hAnsi="Arial" w:cs="Arial"/>
        </w:rPr>
      </w:pPr>
    </w:p>
    <w:p w14:paraId="4F0E6115" w14:textId="77777777" w:rsidR="007D1301" w:rsidRDefault="007D1301">
      <w:pPr>
        <w:spacing w:after="0" w:line="240" w:lineRule="auto"/>
        <w:rPr>
          <w:rFonts w:ascii="Arial" w:hAnsi="Arial" w:cs="Arial"/>
        </w:rPr>
      </w:pPr>
    </w:p>
    <w:p w14:paraId="75AF4FF2" w14:textId="77777777" w:rsidR="007D1301" w:rsidRDefault="007D1301">
      <w:pPr>
        <w:spacing w:after="0" w:line="240" w:lineRule="auto"/>
        <w:rPr>
          <w:rFonts w:ascii="Arial" w:hAnsi="Arial" w:cs="Arial"/>
        </w:rPr>
      </w:pPr>
    </w:p>
    <w:p w14:paraId="619AF7A4" w14:textId="77777777" w:rsidR="007D1301" w:rsidRDefault="007D1301">
      <w:pPr>
        <w:spacing w:after="0" w:line="240" w:lineRule="auto"/>
        <w:rPr>
          <w:rFonts w:ascii="Arial" w:hAnsi="Arial" w:cs="Arial"/>
        </w:rPr>
      </w:pPr>
    </w:p>
    <w:p w14:paraId="111B2AD1" w14:textId="77777777" w:rsidR="007D1301" w:rsidRDefault="007D1301">
      <w:pPr>
        <w:spacing w:after="0" w:line="240" w:lineRule="auto"/>
        <w:rPr>
          <w:rFonts w:ascii="Arial" w:hAnsi="Arial" w:cs="Arial"/>
        </w:rPr>
      </w:pPr>
    </w:p>
    <w:p w14:paraId="5A465E67" w14:textId="77777777" w:rsidR="007D1301" w:rsidRDefault="007D1301">
      <w:pPr>
        <w:spacing w:after="0" w:line="240" w:lineRule="auto"/>
        <w:rPr>
          <w:rFonts w:ascii="Arial" w:hAnsi="Arial" w:cs="Arial"/>
        </w:rPr>
      </w:pPr>
    </w:p>
    <w:p w14:paraId="58A08463" w14:textId="77777777" w:rsidR="007D1301" w:rsidRDefault="00AC431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PARTE  B</w:t>
      </w:r>
      <w:proofErr w:type="gramEnd"/>
    </w:p>
    <w:p w14:paraId="2103A42E" w14:textId="77777777" w:rsidR="007D1301" w:rsidRDefault="007D1301">
      <w:pPr>
        <w:spacing w:after="0" w:line="240" w:lineRule="auto"/>
      </w:pPr>
    </w:p>
    <w:p w14:paraId="23BE46DD" w14:textId="77777777" w:rsidR="007D1301" w:rsidRDefault="007D1301">
      <w:pPr>
        <w:spacing w:after="0" w:line="240" w:lineRule="auto"/>
      </w:pPr>
    </w:p>
    <w:tbl>
      <w:tblPr>
        <w:tblStyle w:val="Grigliatabella"/>
        <w:tblW w:w="1034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10344"/>
      </w:tblGrid>
      <w:tr w:rsidR="007D1301" w14:paraId="6BCC9EA3" w14:textId="77777777">
        <w:tc>
          <w:tcPr>
            <w:tcW w:w="10344" w:type="dxa"/>
            <w:shd w:val="clear" w:color="auto" w:fill="auto"/>
            <w:tcMar>
              <w:left w:w="63" w:type="dxa"/>
            </w:tcMar>
          </w:tcPr>
          <w:p w14:paraId="55B15111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14:paraId="0E7FEFA4" w14:textId="77777777" w:rsidR="007D1301" w:rsidRDefault="007D13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1920B9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La scuola, intesa come luogo dove risuonano le molteplici voci del contesto ambientale </w:t>
            </w:r>
            <w:r>
              <w:rPr>
                <w:rFonts w:ascii="Arial" w:hAnsi="Arial" w:cs="Arial"/>
                <w:sz w:val="24"/>
                <w:szCs w:val="24"/>
              </w:rPr>
              <w:t xml:space="preserve">e sociale è sicuramente il luogo in cui per la prima volta ci si confronta con gli altri, dove bisogna rispettare alcune norme.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E’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proprio nella scuola che il bambino impara l’importanza del rispetto e riconosce i diritti e doveri che regolano la convivenz</w:t>
            </w:r>
            <w:r>
              <w:rPr>
                <w:rFonts w:ascii="Arial" w:hAnsi="Arial" w:cs="Arial"/>
                <w:sz w:val="24"/>
                <w:szCs w:val="24"/>
              </w:rPr>
              <w:t xml:space="preserve">a. Educare alla legalità,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perciò,  è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uno  dei compiti prioritari che la scuola deve svolgere, naturalmente insieme ad altri enti educativi(in primo luogo la famiglia) perché possa realizzarsi concretamente l’acquisizione dei valori della dignità umana, il </w:t>
            </w:r>
            <w:r>
              <w:rPr>
                <w:rFonts w:ascii="Arial" w:hAnsi="Arial" w:cs="Arial"/>
                <w:sz w:val="24"/>
                <w:szCs w:val="24"/>
              </w:rPr>
              <w:t>senso di responsabilità individuale e collettiva, il rispetto degli altri, la solidarietà.</w:t>
            </w:r>
          </w:p>
          <w:p w14:paraId="28093140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L’attività motoria è una proposta educativa molto interessante per accompagnare il bambino lungo questo cammino. Quale occasione migliore per l’insegnante di utilizz</w:t>
            </w:r>
            <w:r>
              <w:rPr>
                <w:rFonts w:ascii="Arial" w:hAnsi="Arial" w:cs="Arial"/>
                <w:sz w:val="24"/>
                <w:szCs w:val="24"/>
              </w:rPr>
              <w:t>are la dimensione ludica, il gioco motorio come “reali” palestre di vita in cui l’attività motoria e sportiva fungono da sfondo per il vissuto di valori che svolgono un ruolo primario nei contesti di vita quotidiana: l’autostima, il rispetto per l’altro, i</w:t>
            </w:r>
            <w:r>
              <w:rPr>
                <w:rFonts w:ascii="Arial" w:hAnsi="Arial" w:cs="Arial"/>
                <w:sz w:val="24"/>
                <w:szCs w:val="24"/>
              </w:rPr>
              <w:t>l riconoscimento e la valorizzazione della diversità, la solidarietà nel gruppo, l’altruismo, la cooperazione.</w:t>
            </w:r>
          </w:p>
          <w:p w14:paraId="03B32824" w14:textId="77777777" w:rsidR="007D1301" w:rsidRPr="00AC4317" w:rsidRDefault="007D1301">
            <w:pPr>
              <w:spacing w:after="0" w:line="240" w:lineRule="auto"/>
            </w:pPr>
          </w:p>
          <w:p w14:paraId="0B178FEC" w14:textId="77777777" w:rsidR="007D1301" w:rsidRDefault="00AC431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L’insegnante D’Elia dedicherà le ore di questo progetto in orario extra-lavorativo.</w:t>
            </w:r>
          </w:p>
          <w:p w14:paraId="21F915F8" w14:textId="77777777" w:rsidR="007D1301" w:rsidRDefault="007D130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3EEC15D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97CC0DD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F9AFA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9479B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016CD689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EF559" w14:textId="77777777" w:rsidR="007D1301" w:rsidRDefault="00AC4317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San Donato Milanese 15/09/2017                                                                              </w:t>
      </w:r>
    </w:p>
    <w:p w14:paraId="06C73E4A" w14:textId="77777777" w:rsidR="007D1301" w:rsidRDefault="00AC43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14:paraId="24AD4B7D" w14:textId="77777777" w:rsidR="007D1301" w:rsidRPr="00AC4317" w:rsidRDefault="00AC4317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La referente</w:t>
      </w:r>
    </w:p>
    <w:p w14:paraId="2735D380" w14:textId="77777777" w:rsidR="007D1301" w:rsidRDefault="00AC4317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Daniela D’Elia</w:t>
      </w:r>
    </w:p>
    <w:p w14:paraId="56FFAE37" w14:textId="77777777" w:rsidR="007D1301" w:rsidRDefault="00AC43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9CB5038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13ED2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3ED42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1D743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FC20D3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83FF52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696E7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7D28A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4E1EF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C5395" w14:textId="77777777" w:rsidR="007D1301" w:rsidRDefault="007D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F5918" w14:textId="77777777" w:rsidR="007D1301" w:rsidRDefault="00AC43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7D998A7" w14:textId="77777777" w:rsidR="007D1301" w:rsidRDefault="007D1301">
      <w:pPr>
        <w:spacing w:after="0" w:line="240" w:lineRule="auto"/>
      </w:pPr>
    </w:p>
    <w:sectPr w:rsidR="007D1301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264"/>
    <w:multiLevelType w:val="multilevel"/>
    <w:tmpl w:val="3594B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F3741C"/>
    <w:multiLevelType w:val="multilevel"/>
    <w:tmpl w:val="2A26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C9D1A66"/>
    <w:multiLevelType w:val="multilevel"/>
    <w:tmpl w:val="F5C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B23151D"/>
    <w:multiLevelType w:val="multilevel"/>
    <w:tmpl w:val="602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1C51E73"/>
    <w:multiLevelType w:val="multilevel"/>
    <w:tmpl w:val="AA7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79BD1331"/>
    <w:multiLevelType w:val="multilevel"/>
    <w:tmpl w:val="E22C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1301"/>
    <w:rsid w:val="007D1301"/>
    <w:rsid w:val="00A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416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B00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Caratteredinumerazione">
    <w:name w:val="Carattere di numerazione"/>
    <w:qFormat/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B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1082</Words>
  <Characters>6168</Characters>
  <Application>Microsoft Macintosh Word</Application>
  <DocSecurity>0</DocSecurity>
  <Lines>51</Lines>
  <Paragraphs>14</Paragraphs>
  <ScaleCrop>false</ScaleCrop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Huni</dc:creator>
  <dc:description/>
  <cp:lastModifiedBy>ceciliadelvecchio68@gmail.com</cp:lastModifiedBy>
  <cp:revision>114</cp:revision>
  <cp:lastPrinted>2017-06-16T10:08:00Z</cp:lastPrinted>
  <dcterms:created xsi:type="dcterms:W3CDTF">2016-01-23T17:53:00Z</dcterms:created>
  <dcterms:modified xsi:type="dcterms:W3CDTF">2017-10-15T17:08:00Z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